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TY CODE, CHAPTER 18, ARTICLE VII, SECTION 18-123(h); CHAPTER 21,percent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 ARTICLE I, SECTIONS 21-1 THROUGH 21-25; CHAPTER 21, ARTICLE II,sh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SECTIONS 21-26, 21-28, 21-30; CHAPTER 21, ARTICLE III, SECTIONS and billboards to increase their sales of these products.  Fresh fruit and vege 21-36 AND 21-40; CHAPTER 21, ARTICLE VII, SECTIONS 21-101 AND 2tables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brands.1-123; CHAPTER 24, ARTICLE X, DIV. 3, SECTIONS 24-341(c) AND 24-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345(c); CHAPTER 31, ARTICLE I, SECTION 31-2(b); AND CHAPTER 32,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ARTICLE VIII, SECTION 32-174, RELATIVE TO NEIGHBORHOOD SERVICES.and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______________________________________________________WHEREAS, 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tho.C.A. §§13-21-101 through 13-21-208, power is conferred on municse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ingredipalities to exercise their police powers to repair, close or deients are allowed on the Polish market, SANEPID test resumolish certain unfit, dilapidated, defective, unsafe or unsanitalts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onry dangerous structures in the manner therein provided; andWHERE food additives on June 3, 2003.   Poland uses a positive-additives list, which identifies additives that AS, The City Council of the City of Chattanooga finds that thereare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 exists in Chattanooga structures which are unfit for human occuber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00-87pation or use due to dilapidation, defects increasing the hazards of 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