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ARTICLE I, SECTIONS 21-1 THROUGH 21-25; CHAPTER 21, ARTICLE II, SECTIONS 21-26, 21-28, 21-30; CHAPTER 21, ARTICLE III, SECTIONSwith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 21-36 AND 21-40; CHAPTER 21, ARTICLE VII, SECTIONS 21-101 AND 21-123; CHAPTER 24, ARTICLE X, DIV. 3, SECTIONS 24-341(c) AND 24-igh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345(c); CHAPTER 31, ARTICLE I, SECTION 31-2(b); AND CHAPTER 32, ARTICLE VIII, SECTION 32-174, RELATIVE TO NEIGHBORHOOD SERVICES.Almonds,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M______________________________________________________WHEREAS, T.C.A. §§13-21-101 through 13-21-208, power is conferred on municost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requeipalities to exercise their police powers to repair, close or demolish certain unfit, dilapidated, defective, unsafe or unsanitasts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(ingrediery dangerous structures in the manner therein provided; andWHEREAS, The City Council of the City of Chattanooga finds that therents,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 exists in Chattanooga structures which are unfit for human occupation or use due to dilapidation, defects increasing the hazards of 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