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 and billboards to increase their sales of these products.  Fresh fruit and vegeding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provients are allowed on the Polish market, SANEPID test resuisions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food additives on June 3, 2003.   Poland uses a positive-additives list, which identifies additives that ,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