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ORDINANCE NO. 11345AN ORDINANCE TO AMEND PART II, CHATTANOOGA CITQuick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chY CODE, CHAPTER 18, ARTICLE VII, SECTION 18-123(h); CHAPTER 21, Aanges,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nuRTICLE I, SECTIONS 21-1 THROUGH 21-25; CHAPTER 21, ARTICLE II, SEt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percentCTIONS 21-26, 21-28, 21-30; CHAPTER 21, ARTICLE III, SECTIONS 21-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det36 AND 21-40; CHAPTER 21, ARTICLE VII, SECTIONS 21-101 AND 21-123ailed data on dried fruit consum</w:t>
      </w:r>
      <w:r>
        <w:rPr>
          <w:rFonts w:ascii="" w:hAnsi="" w:cs="" w:eastAsia=""/>
          <w:b w:val="false"/>
          <w:i w:val="false"/>
          <w:strike w:val="false"/>
          <w:color w:val=""/>
        </w:rPr>
        <w:t>ption is available.   The most popular dried fruits on the Polish market are:  raisins, prunes, dates, apricots, fig; CHAPTER 24, ARTICLE X, DIV. 3, SECTIONS 24-341(c) AND 24-345(c)s,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 CHAPTER 31, ARTICLE I, SECTION 31-2(b); AND CHAPTER 32, ARTICLEulat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 VIII, SECTION 32-174, RELATIVE TO NEIGHBORHOOD SERVICES.________d aspect and use of nuts and dri</w:t>
      </w:r>
      <w:r>
        <w:rPr>
          <w:rFonts w:ascii="" w:hAnsi="" w:cs="" w:eastAsia=""/>
          <w:b w:val="false"/>
          <w:i w:val="false"/>
          <w:strike w:val="false"/>
          <w:color w:val=""/>
        </w:rPr>
        <w:t>ed fruit as snacks.   In addition, these products ar______________________________________________WHEREAS, T.C.A. §§1e also quite popular with the 20-49 year old age group.  Consumption in the age group above 50 years is very marginal.  Consumption decreases at this a3-21-101 through 13-21-208, power is conferred on municipalities 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avoito exercise their police powers to repair, close or demolish certds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markeain unfit, dilapidated, defective, unsafe or unsanitary dangeroust.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structures in the manner therein provided; andWHEREAS, The City  number throughout Poland and offer the largest variety and shelf space of any segment.  Supermarkets and discount stores also offer a large variety of dried fruit &amp; nuts and shelf space.  Convenience storeCouncil of the City of Chattanooga finds that there exists in Chas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ttanooga structures which are unfit for human occupation or use da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outleue to dilapidation, defects increasing the hazards of fire, accidt.  Traditional stores and ki</w:t>
      </w:r>
      <w:r>
        <w:rPr>
          <w:rFonts w:ascii="" w:hAnsi="" w:cs="" w:eastAsia=""/>
          <w:b w:val="false"/>
          <w:i w:val="false"/>
          <w:strike w:val="false"/>
          <w:color w:val=""/>
        </w:rPr>
        <w:t>osks offer the least amount of variety and shelf space for dried fruit &amp; nuts buent or other calamities, lack of ventilation, light or sanitary ft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acilities, and due to other conditions rendering such structures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follounsafe or unsanitary, or dangerous or detrimental to the health, 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qualsafety or morals, or otherwise inimical to the welfare of the resity ingredients to ensure longer s</w:t>
      </w:r>
      <w:r>
        <w:rPr>
          <w:rFonts w:ascii="" w:hAnsi="" w:cs="" w:eastAsia=""/>
          <w:b w:val="false"/>
          <w:i w:val="false"/>
          <w:strike w:val="false"/>
          <w:color w:val=""/>
        </w:rPr>
        <w:t>helf life of their proidents of Chattanooga;NOW, THEREFORE,BE IT ORDAINED BY THE CITY Cducts.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OUNCIL OF THE CITY OF CHATTANOOGA, TENNESSEE, as follows:SECTION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1.  That Chattanooga City Code, Part II, Chapter 18, Article VII,valorem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Section 18-123(h) is amended by deleting “Better Housing Commiss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reflection” and replacing in lieu thereof  “Public Officer of the Depart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ment of Neighborhood Services”.SECTION 2.That Chattanooga City Colist),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de Part II, Chapter 21, Article I, Sections 21-1 through 21-25 befrom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 and is hereby amended by deleting the same in its entirety and iriate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nserting in lieu thereof the following:Sec. 21-1.Scope.The provisInformation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Saniions of this code shall apply to all existing residential and nontary Station - SANEPID - actual tests &amp; check ups</w:t>
      </w:r>
    </w:p>
    <w:p>
      <w:pPr>
        <w:pStyle w:val="Header"/>
        <w:jc w:val="left"/>
      </w:pPr>
      <w:r>
        <w:rPr>
          <w:rFonts w:ascii="" w:hAnsi="" w:cs="" w:eastAsia=""/>
          <w:b w:val="false"/>
          <w:i w:val="false"/>
          <w:strike w:val="false"/>
          <w:color w:val=""/>
        </w:rPr>
        <w:t>Mr. Krzysztof Dziubinski, residential structures and all existing premises and constitutes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849minimum requirements and standards for premises, structures, equipment, and facilitie3513,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2021-03-25T04:37:34Z</dcterms:created>
  <dc:creator>Apache POI</dc:creator>
</cp:coreProperties>
</file>