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AND 21-40; CHAPTER 21, ARTICLE VII, SECTIONS 21-101 AND 21-123; CHAPTER 24, ARTICLE X, DIV. 3, SECTIONS 24-341(c) AND 24-345(c); CHAPTER 31, ARTICLE I, SECTION 31-2(b); AND CHAPTER 32, ARTICLE VIII, SECTION 32-174, RELATIVE TO NEIGHBORHOOD SERVICES.____________with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h__________________________________________WHEREAS, T.C.A. §§13-21-101 through 13-21-208, power is conferred on municipalities to exercise their police powers to repair, close or demolish certain unfit, dilapidated, defective, unsafe or unsanitary dangerous strucigh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tures in the manner therein provided; andWHEREAS, The City Council of the City of Chattanooga finds that there exists in Chattanooga structures which are unfit for human occupation or use due to dilapidation, defects increasing the hazards of fire, accident or oAlmonds,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Mther calamities, lack of ventilation, light or sanitary facilities, and due to other conditions rendering such structures unsafe or unsanitary, or dangerous or detrimental to the health, safety or morals, or otherwise inimical to the welfare of the residents of 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requeChattanooga;NOW, THEREFORE,BE IT ORDAINED BY THE CITY COUNCIL OF THE CITY OF CHATTANOOGA, TENNESSEE, as follows:SECTION 1.  That Chattanooga City Code, Part II, Chapter 18, Article VII, Section 18-123(h) is amended by deleting “Better Housing Commission” and repsts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(ingredielacing in lieu thereof  “Public Officer of the Department of Neighborhood Services”.SECTION 2.That Chattanooga City Code Part II, Chapter 21, Article I, Sections 21-1 through 21-25 be and is hereby amended by deleting the same in its entirety and inserting in lints,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theu thereof the following:Sec. 21-1.Scope.The provisions of this code shall apply to all existing residential and nonresidential structures and all existing premises and constitutes minimum requirements and standards for premises, structures, equipment, and facilitiee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