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ORDAINED by th---------------------------------------------------------------------------------------------------------------------e People of the City and County of Honolulu:S---------</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ManageECTION 1.  Purpose. The purpose of this ordinment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-------------------------------------------------------------------------------------------------------ance is to define camping.SECTION 2.  Section------------------------</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 10-1.1, Revised Ordinances of Honolulu 1990,ed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 as amended, is further amended to read as fof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twollows:“Sec. 10-1.1Definitions.“Camp” or “camp grades lower than the positions to be filled.</w:t>
      </w:r>
    </w:p>
    <w:p>
      <w:pPr>
        <w:pStyle w:val=""/>
        <w:jc w:val="left"/>
      </w:pPr>
      <w:r>
        <w:rPr>
          <w:rFonts w:ascii="Arial" w:hAnsi="Arial" w:cs="Arial" w:eastAsia="Arial"/>
          <w:b w:val="false"/>
          <w:i w:val="false"/>
          <w:strike w:val="false"/>
          <w:color w:val=""/>
          <w:sz w:val="22"/>
        </w:rPr>
        <w:t>Applicant’s materials should be mailed ing” means the use and occupation of a public pato: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