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Manageces of Honolulu 1990, as amended, is further amended to read as follows:“Sec. 10-1.1Definitions.“Camp”ment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 or “camping” means the use and occupation of a public park as a temporary or permanent dwelling place------------------------</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or sleeping place between the hours of 10:00 p.m. and 5:00 a.m.“Dwelling place” means a place used foed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or human habitation as an overnight accommodation, lodging, or shelter on either a temporary or permanef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twont basis.“Human habitation” means the act of utilizing, occupying, or inhabiting a place of lodging or grades lower than the positions to be filled.</w:t>
      </w:r>
    </w:p>
    <w:p>
      <w:pPr>
        <w:pStyle w:val=""/>
        <w:jc w:val="left"/>
      </w:pPr>
      <w:r>
        <w:rPr>
          <w:rFonts w:ascii="Arial" w:hAnsi="Arial" w:cs="Arial" w:eastAsia="Arial"/>
          <w:b w:val="false"/>
          <w:i w:val="false"/>
          <w:strike w:val="false"/>
          <w:color w:val=""/>
          <w:sz w:val="22"/>
        </w:rPr>
        <w:t>Applicant’s materials should be mailed  shelter on a permanent or temporary basis as a place of residence or sojourn.“Off-leash park” means a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