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Orgathe People of the City and County of Honolunization: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----------------------------------------------------------------------------------------lu:SECTION 1.  Purpose. The purpose of this---------------------------- ordinance is to define camping.SECTION 2.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Section 10-1.1, Revised Ordinances of Honoion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referenlulu 1990, as amended, is further amended tced systems, basic protective techniques, sighted guide, the general application and use of dog guides and referral procedureso read as follows:“Sec. 10-1.1Definitions.“ for dog guides, the general application and current, commercially available Electronic Travel Aids (ETA’s), ability to counsel veterans regarding their need and use for an ETA and referral procedures for veterans applyinCamp” or “camping” means the use and occupag for ETAs; the procedures for prescribing cane lengths and the advantages and disadvantages of the various ttion of a public park as a temporary or perypes of canes available to the blind; the application and use of nonvisual training aids such as tactile maps; the application and use of sensory training exercises for remedation in selected problem situations.manent dwelling place or sleeping place bet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andween the hours of 10:00 p.m. and 5:00 a.m.“ identifying and referring these elements appropriately; knowledge of Dwelling place” means a place used for humagerontology n habitation as an overnight accommodation,and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lodging, or shelter on either a temporary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Reor permanent basis.“Human habitation” meansquirements: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the act of utilizing, occupying, or inhabi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ting a place of lodging or shelter on a percreditable, specialized experience must have been equivalent to at leamanent or temporary basis as a place of resst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evaidence or sojourn.“Off-leash park” means a luation process for this position. public park designated by the director of pFailurearks and recreation where dogs, and no othe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 animal, shall be allowed to be off-leash.abilitation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Responses“Public park” means any park, park roadway,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playground, athletic field, beach, beach rired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transcripight-of-way, tennis court, golf course, swits,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accmming pool, or other recreation area or facepted.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ility under the control, maintenance and main a line of work properly classified at 1-grade intervalsnagement of the department of parks and rec </w:t>
      </w:r>
      <w:r>
        <w:rPr>
          <w:rFonts w:ascii="Arial" w:hAnsi="Arial" w:cs="Arial" w:eastAsia="Arial"/>
          <w:b w:val="false"/>
          <w:i w:val="false"/>
          <w:strike w:val="false"/>
          <w:color w:val=""/>
          <w:sz w:val="22"/>
        </w:rPr>
        <w:t xml:space="preserve">must have completed at least one year of service in positions no more than one gradereation.  “Public park” does not include a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comppublic thoroughfare defined as a “mall” undleted at least one year of service in poer Section 29-1.1 unless the public thorougsitions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hfare has been (1) accepted, dedicated, or named by the council expRESOURCES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