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 accommodation, lodging, or shelter on either a temporary or permanent basis.“Human habitation” means the act of utilizing, occupying, or inhabiting a place of lodging or shelter on a permanent or temporary basis as a place of residence or sojourn.“Off-leash park” means ament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 public park designated by the director of parks and recreation where dogs, and no other animal, shall be allowed to be off-leash.“Public park” means any park, park roadway, playground, athletic field, beach, beach right-of-way, tennis court, golf course, swimming pool, o------------------------</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specializr other recreation area or facility under the control, maintenance and management of the department of parks and recreation.  “Public park” does not include a public thoroughfare defined as a “mall” under Section 29-1.1 unless the public thoroughfare has been (1) accepteded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 dedicated, or named by the council expressly as a “public park” or “park”; (2) placed under the control, maintenance, and management of and classified expressly as a “public park” or “park” by the department of parks and recreation; or (3) constructed or situated withinf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a larger specific recreation area or facility listed in the preceding sentence.“Sleeping place” means a place used by a person for the purpose of sleeping, where the person is asleep inside a tent, sleeping bag, or some form of temporary shelter or is asleep atop of or c grades lower than the positions to be filled.</w:t>
      </w:r>
    </w:p>
    <w:p>
      <w:pPr>
        <w:pStyle w:val=""/>
        <w:jc w:val="left"/>
      </w:pPr>
      <w:r>
        <w:rPr>
          <w:rFonts w:ascii="Arial" w:hAnsi="Arial" w:cs="Arial" w:eastAsia="Arial"/>
          <w:b w:val="false"/>
          <w:i w:val="false"/>
          <w:strike w:val="false"/>
          <w:color w:val=""/>
          <w:sz w:val="22"/>
        </w:rPr>
        <w:t>Applicant’s materials should be mailed overed by materials such as a cot, mat, bedroll, bedding, sheet, blanket, pillow, bag, cardboard, or newspapers.”SECTION 3.  New ordinance material is underscored.  When revising, compiling or printing this ordinance for inclusion in the Revised Ordinances of Honolulu, the rto: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