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the People of the Ciment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-------------------------------------------------------------------------------------------------------ty and County of Hono------------------------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specializlulu:SECTION 1.  Purped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oose. The purpose of tf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twohis ordinance is to d grades lower than the positions to be filled.</w:t>
      </w:r>
    </w:p>
    <w:p>
      <w:pPr>
        <w:pStyle w:val=""/>
        <w:jc w:val="left"/>
      </w:pPr>
      <w:r>
        <w:rPr>
          <w:rFonts w:ascii="Arial" w:hAnsi="Arial" w:cs="Arial" w:eastAsia="Arial"/>
          <w:b w:val="false"/>
          <w:i w:val="false"/>
          <w:strike w:val="false"/>
          <w:color w:val=""/>
          <w:sz w:val="22"/>
        </w:rPr>
        <w:t>Applicant’s materials should be mailed efine camping.SECTION 2.to: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