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of 3 for the BPAC Bacterial contamination topic) Quality Control (QC) Measures for Aseptic Collection and Processing of  Platelets and Platelets PheresisBackground:Although blood collection and proces(at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whsing procedures are intended to produce non-infectious blood components, bacterial contamination still may occur.  Surveillance studies have found rates of contamination as high as 0.4% in single donor platelets, although rates at or below 0.2% are more reported.  The causes 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functioninclude occult bacteremia in the donor, inadequate or contaminated skin preparation at the phlebotomy site, coring of a skin plug by the phlebotomy needle, and breaches of the closed system from equipment defects or mishandling.  Platelet products are more likely than other ling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theory.”:abile components to be associated with sepsis due to their storage at room temperature, which is permissive of bacterial growth.  For the same reason, bacterial cultures of platelets provide the best indication of the rate of contamination, provided that the sample for culture i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