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Blood Products Advisory Committee MeetingDecember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wh12, 2002Issue Summary: (1 of 3 for the BPAC Bactera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functionial contamination topic) Quality Control (QC) Measing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theory.”:ures for Aseptic Collection and Processing of  Platel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