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GeBlood Products Advisory Cll-Mann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anommittee MeetingDecember 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l12, 2002Issue Summary: (1east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 of 3 for the BPAC Bactervent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going to look for another answer” p. 348: “remains, to say the leaial contamination topic) 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emQuality Control (QC) Measpty-of-a-connection-to-REALITY 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ures for Aseptic Collecti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Oon and Processing of  Platelmnes.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