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namring, coaching, projects and assignments were all top notch. The face to face meetings throughout the various locations were filled with valuable information, and the ged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hydroup projects provided for great opportunities to learn leadership skills and have some fun in the process.  More importaroxide,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