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Turner </w:t>
      </w:r>
    </w:p>
    <w:p>
      <w:pPr>
        <w:pStyle w:val="Heading3"/>
        <w:jc w:val="left"/>
      </w:pPr>
      <w:r>
        <w:rPr>
          <w:rFonts w:ascii="Times New Roman" w:hAnsi="Times New Roman" w:cs="Times New Roman" w:eastAsia="Times New Roman"/>
          <w:b w:val="false"/>
          <w:i w:val="true"/>
          <w:strike w:val="false"/>
          <w:color w:val=""/>
          <w:sz w:val="24"/>
        </w:rPr>
        <w:t>Agency for Health Care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primarily used for medical billing purposes, hospital data can serve as a rich source of health information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resolution) therefore; they receive a non-confidential, public-use CD, in a time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he primary focus of the grant is to integrate data from health and environmental agencies to evaluate adverse chronic disease outcomes, such as cancers and birth defects. Other stakeholders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billing purposes, and environmental agencies 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Agency for Health 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potential - a lengthy application process to obtain confidential health information contributes to a gap in proactive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application (see attached) was modified to help ease the data application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for Inter-Agency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 subcontractors of the Applicant do agree to the same conormula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(particditions and restrictions for safeguarding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necessary for the successful completion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mentoring, coaching, projects and assignments were all top notch. The face to face meetings throughout the various locations were filled with valuable information, and the group projects provided for great opportunities to learn leadership skills and have some fun in the process.  More importantly, I was impressed with the dedication and commitment by the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2021-03-25T04:37:39Z</dcterms:created>
  <dc:creator>Apache POI</dc:creator>
</cp:coreProperties>
</file>