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CopyrightedMorphological and  physiological diffMaterial</w:t>
      </w:r>
    </w:p>
    <w:p>
      <w:pPr>
        <w:pStyle w:val=""/>
        <w:jc w:val="left"/>
      </w:pPr>
      <w:r>
        <w:rPr>
          <w:rFonts w:ascii="Book Antiqua" w:hAnsi="Book Antiqua" w:cs="Book Antiqua" w:eastAsia="Book Antiqua"/>
          <w:b w:val="true"/>
          <w:i w:val="false"/>
          <w:strike w:val="false"/>
          <w:color w:val=""/>
        </w:rPr>
        <w:t xml:space="preserve">Material Description:erences among resi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edent and coaster bxposurrook trout juvenile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-butadiees, Lindsey M. Larne – a tale oson, Rachel R. Holf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abovman, Jesse L. Karne referener, J. B. K. Leonaced document ward*, Northern Michs submitted to the dockigan University, Bet iology Department,as an attachment to comments from NIOSH.  The document is subject  Marquette, MI 498to55, jileonar@nmu.e copyriduMigratory freshwght proteater brook trout (ctions anSalvelinus fontinad therefore ilis), commonly cals not being made availablled coasters, are a vital part of the by DOL ine Lake Superior wa the electronic dotershed, but with cket.  The document is included in the docket maintainlimited data availed in hable on their lifeard co history, it has bpy at the Departmeeen difficult to cnt of Labor, Olassify their roleffice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 within the Salmonution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.idae family.  Broo k trout exhibit hi ghly variable life The document is available for review only at the Department of Labor and consistent with copyright history traits within the species; 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