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Morphological and physiological differences among resident and coaster brook trout juveniles, Lindsof Copyrightedey M. Larson, Rachel R. Holman, Jesse L. Karner, J. B. K. Leonard*, Northern Michigan University, B Material</w:t>
      </w:r>
    </w:p>
    <w:p>
      <w:pPr>
        <w:pStyle w:val=""/>
        <w:jc w:val="left"/>
      </w:pPr>
      <w:r>
        <w:rPr>
          <w:rFonts w:ascii="Book Antiqua" w:hAnsi="Book Antiqua" w:cs="Book Antiqua" w:eastAsia="Book Antiqua"/>
          <w:b w:val="true"/>
          <w:i w:val="false"/>
          <w:strike w:val="false"/>
          <w:color w:val=""/>
        </w:rPr>
        <w:t xml:space="preserve">Material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exposuiology Department, Marquette, MI 49855, jileonar@nmu.eduMigratory freshwater brook trout (Salvelinure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mics fontinalis), commonly called coasters, are a vital part of the Lake Superior watershed, but with e and men.  </w:t>
      </w:r>
      <w:r>
        <w:rPr>
          <w:rFonts w:ascii="Book Antiqua" w:hAnsi="Book Antiqua" w:cs="Book Antiqua" w:eastAsia="Book Antiqua"/>
          <w:b w:val="false"/>
          <w:i w:val="true"/>
          <w:strike w:val="false"/>
          <w:color w:val=""/>
        </w:rPr>
        <w:t>Scand limited data available on their life history, it has been difficult to classify their role within tJ Work Environ Health</w:t>
      </w:r>
      <w:r>
        <w:rPr>
          <w:rFonts w:ascii="Book Antiqua" w:hAnsi="Book Antiqua" w:cs="Book Antiqua" w:eastAsia="Book Antiqua"/>
          <w:b w:val="false"/>
          <w:i w:val="false"/>
          <w:strike w:val="false"/>
          <w:color w:val=""/>
        </w:rPr>
        <w:t>.  2000; 2he Salmonidae family.  Brook trout exhibit highly variable life history traits within the species; 6(4):  322-330.</w:t>
      </w:r>
    </w:p>
    <w:p>
      <w:pPr>
        <w:pStyle w:val=""/>
        <w:jc w:val="left"/>
      </w:pPr>
      <w:r>
        <w:rPr>
          <w:rFonts w:ascii="Book Antiqua" w:hAnsi="Book Antiqua" w:cs="Book Antiqua" w:eastAsia="Book Antiqua"/>
          <w:b w:val="false"/>
          <w:i w:val="false"/>
          <w:strike w:val="false"/>
          <w:color w:val=""/>
        </w:rPr>
        <w:t xml:space="preserve">The above referenced document was submitted to there often exist both anadromous (migrant) and nonanadromous (non-migrant or resident) forms withithe docket as an attachment to cn a population.  Lake Superior coaster brook trout typically occupy near-shore areas at one time oromments from NIOSH.  The document is subject to copyright protections and therefore is not being made available by DOL in  another during their lives.  The mechanisms involved in the determination of migration or residencthe electy are not well understood, however, morphometrics and the metabolism of the fish likely play importronic docket.  The doant roles.  It is believed that coaster brook trout exhibit changes that can be compared to smoltincument is included in the docket maintained in hag, the preparation that fish undergo to survive in a saltwater environment prior to leaving a freshrd copy at the Department of Labor, Office water stream.  Some metabolic patterns and morphological traits can be indicative of the smolting pof the Assistant Secretary for Policy, Suite S-231rocess in coaster strains.  Four strains of brook trout (three coaster, one stream-resident) were s2,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ampled once a month over four consecutive days.  Sixteen fish from each strain were sampled per day Constitution A by placing eight in a saltwater challenge tank and another eight in a freshwater tank.  After twenty fvenue,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document is available for review only at the Department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