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MateMorphological and physiological differences among resident and coaster brook trout juveniles, Lindsey M. Larson, Rachel R. Holman, Jesse L. Karner, J. B. K. Leonard*, Northern Michigan University, Biology Department, Marquette, MI 49855, jileonar@nmu.eduMigratory freshwater brook trout (Salvelinus fontinalis), commonly called coasters, are a vital part of the Lake Superior watershed, but with lrial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docuimited data available on their life history, it has been difficult to classify their role within the Salmonidae family.  Brook trout exhibit highly variable life history traits within the species; there often exist both anadromous (migrant) and nonanadromous (non-migrant or resident) forms within a population.  Lake Superior coaster brook trout typically occupy near-shore areas at one time or ament inother during their lives.  The mechanisms involved in the determination of migration or residency are not well understood, however, morphometrics and the metabolism of the fish likely play important roles.  It is believed that coaster brook trout exhibit changes that can be compared to smolting, the preparation that fish undergo to survive in a saltwater environment prior to leaving a freshwats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er stream.  Some metabolic patterns and morphological traits can be indicative of the smolting process in coaster strains.  Four strains of brook trout (three coaster, one stream-resident) were sampled once a month over four consecutive days.  Sixteen fish from each strain were sampled per day by placing eight in a saltwater challenge tank and another eight in a freshwater tank.  After twenty ffor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