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abMorphological and physiological differences among resident and coaster brook trout juveniles, Lindsey M. Larson, Rachel R. Holman, Jesse L. Karner, J. B. K. Leonard*, Northern Michigan University, Bove referenced document was submitted to the docket as an attachment to comments from NIOSH.  The document iiology Department, Marquette, MI 49855, jileonar@nmu.eduMigratory freshwater brook trout (Salvelinus fontinalis), commonly called coasters, are a vital part of the Lake Superior watershed, but with s subject to copyright protections and therefore is not being made available by DOL in the electronic docket.  The documelimited data available on their life history, it has been difficult to classify their role within the Salmonidae family.  Brook trout exhibit highly variable life history traits within the species; nt is included in the docket maintaithere often exist both anadromous (migrant) and nonanadromous (non-migrant or resident) forms within a population.  Lake Superior coaster brook trout typically occupy near-shore areas at one time orned in hard copy at the Department of Labor, Office of the Assis another during their lives.  The mechanisms involved in the determination of migration or residency are not well understood, however, morphometrics and the metabolism of the fish likely play importtant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Constitutionant roles.  It is believed that coaster brook trout exhibit changes that can be compared to smolting, the preparation that fish undergo to survive in a saltwater environment prior to leaving a fresh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water stream.  Some metabolic patterns and morphological traits can be indicative of the smolting process in coaster strains.  Four strains of brook trout (three coaster, one stream-resident) were sdocument is available for review only at the Deparampled once a month over four consecutive days.  Sixteen fish from each strain were sampled per day by placing eight in a saltwater challenge tank and another eight in a freshwater tank.  After twenty ftment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