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CopyrightedMor phoMaterial</w:t>
      </w:r>
    </w:p>
    <w:p>
      <w:pPr>
        <w:pStyle w:val=""/>
        <w:jc w:val="left"/>
      </w:pPr>
      <w:r>
        <w:rPr>
          <w:rFonts w:ascii="Book Antiqua" w:hAnsi="Book Antiqua" w:cs="Book Antiqua" w:eastAsia="Book Antiqua"/>
          <w:b w:val="true"/>
          <w:i w:val="false"/>
          <w:strike w:val="false"/>
          <w:color w:val=""/>
        </w:rPr>
        <w:t xml:space="preserve">Material Description:log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eicaxposurl ae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-butadiend ne – a tale ophyf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abovsioe referenlogced document waicas submitted to the dockl det iffas an attachment to comments from NIOSH.  The document is subject eretonce copyris aght protemonctions ang rd therefore iesis not being made availabldent ae by DOL innd  the electronic docoacket.  The document is included in the docket maintainsteed in hr bard coroopy at the Departmek tnt of Labor, Orouffice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Constitt jution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.uve nil es, The document is available for review only at the Department of Labor and consistent with copyright Linds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