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MateMorphological and physiological differences among resident and coaster brook trout juveniles, Lindsey M. Larson, Rachel R. Holman, Jesse L. Karner, J. B. K. Leonard*, Northern Michigan University, Biology Department, Marquette, MI 49855, jileonar@nmu.eduMigratory freshwater brook trout (Salvelinus fontinalis), commonly called coasters, are a vital part of the Lake Superior watershed, but with limited data available on their life history, it has been difficult to classify their role within the Salmonidae family.  Brook trout exhibit highly variable life history traits within the species; trial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docuhere often exist both anadromous (migrant) and nonanadromous (non-migrant or resident) forms within a population.  Lake Superior coaster brook trout typically occupy near-shore areas at one time or another during their lives.  The mechanisms involved in the determination of migration or residency are not well understood, however, morphometrics and the metabolism of the fish likely play important roles.  It is believed that coaster brook trout exhibit changes that can be compared to smolting, the preparation that fish undergo to survive in a saltwater environment prior to leaving a freshwament iter stream.  Some metabolic patterns and morphological traits can be indicative of the smolting process in coaster strains.  Four strains of brook trout (three coaster, one stream-resident) were sampled once a month over four consecutive days.  Sixteen fish from each strain were sampled per day by placing eight in a saltwater challenge tank and another eight in a freshwater tank.  After twenty four hours, the fish were prepared for measurement and tissue sampling.  Morphometrics were analyzed by principle comprehensive analysis to assess differences between coasters and residents.  Lactats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e dehydrogenase (LDH), citrate synthase (CS), and pyruvate kinase (PK) activities in liver and white muscle were measured using microplate spectrophotometer colorimetric assays.  We expect to see various morphological differences, such as increased size and elongation of body dimensions in coasters, as well as observed spikes of enzyme activity.  There may also be an increase in CS levels indicative of higher aerobic capacity/activity in coaster strains.  Metabolic shifts and morphological differences may be indicators of greater tolerance to the transition between freshwater and saltwater.for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