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hreis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acondensate.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MIndT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 i.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cetunneling rate –s provides a sensitive probe of the bound a gary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