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Fire and ice – a gspin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.ood place to searc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