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anaDigement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Linkyso,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Advrdisor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er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Island.-I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aboutnd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ucsurvivable,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edmade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 Rwo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praesctices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wastewaistetir.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movedel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 Aw.etsap.org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Systenom.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maEMS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seriesly of “cost –benefit curves” of advanced technology and m Nanagement practeaices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thr eFe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whirrch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electomric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thage justification for completion of the NneYC timodel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c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UniPhversity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atas the Eastern Regioe Trn Enansitions*Felix 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