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Disorder-In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nduced Resiseed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tive Anomalcan provide a flexible platform from which to accelerate the debate and decisiy Near Ferron</w:t>
      </w:r>
      <w:r>
        <w:rPr>
          <w:rFonts w:ascii="" w:hAnsi="" w:cs="" w:eastAsia=""/>
          <w:b w:val="false"/>
          <w:i w:val="false"/>
          <w:strike w:val="false"/>
          <w:color w:val=""/>
        </w:rPr>
        <w:t>omagnetic Ps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behase Transi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tions*Felix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 von OppenFm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www.ereie Univertsap.org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“sitat Berliblueprint”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–bnWe show thenefit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Nat the resiew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Carolinastivity ρ(T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wa) of disordste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Officered ferrome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agnets near,12-14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