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anaDisorgement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Linkyder-I,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Advnduceisor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d Res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Island.istiv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aboute Ano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maly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Near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tFerrowo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pramagnectices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wastewatic Ptehase 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moTransdel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wwitionw.etsap.org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Systes*Felm.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ix voEMS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seriesn Opp of “cost –benefit curves” of advanced technology and menFreanagement practie Unices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thiverseitat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whiBerlich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electnWe sric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thhow te justification for completion of the Nhat tYC he remodel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sististakeholders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Univity 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atρ(T)  the Eastern Regioof disorden Enred ferromagnets near,ergy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