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Disorder-Induced R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nesistive Anomaly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ear Ferromagnetic can provide a flexible platform from which to accelerate the debate and decisiPhase Transitions*on</w:t>
      </w:r>
      <w:r>
        <w:rPr>
          <w:rFonts w:ascii="" w:hAnsi="" w:cs="" w:eastAsia=""/>
          <w:b w:val="false"/>
          <w:i w:val="false"/>
          <w:strike w:val="false"/>
          <w:color w:val=""/>
        </w:rPr>
        <w:t>Felix von OppenFres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beie Universitat Ber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>linWe show that th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platfore resistivity ρ(T)m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 of disordered fertsap.org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“romagnets near, anblueprint”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–bd above, the Curieenefit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 temperature Tc geew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Carolinanerically exhibits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 a stronger anomalste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Officy than the scalinge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-based Fisher-Langer prediction.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