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anaDisorder-gement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LinkyInduced R,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Advesistive 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Anomaly N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Island.ear Ferro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aboutmagnetic 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Phase Trasurvivable,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nsitions*made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tFelix vonwo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 OppenFrectices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wastewaie Univertesitat Berr.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molinWe shodel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 that thw.etsap.org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Systee resistim.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vity ρ(T)EMS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disor of “cost –benefit curves” of advanced technology and mdered feranagement practromagnetsices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 near, aned above,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whithe Curiech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 temperatric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thure Tc gee justification for completion of the NnericallyYC  exhibitsmodel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 a strongstakeholders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Unier anomalversity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aty than th the Eastern Regioe scaling-based Fin Ensher-Langer prediction. 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