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Disorder-Induced Resistive Anomaly Near Ferromagnetic Phase Transitions*Felix von OppenFreie Universitat BerlinWe show that the resistivity ρ(T) of disordered ferromagnets near, and above, the Curie temperature Tc generically exhibits a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 stronger anomaly than the scaling-based Fisher-Langer prediction. Treating transport beyond the Boltzmann description, we find that within mean-field theory, dρ/dT exhibits a |T-Tc|-1/2 singularity near Tc. Our results, being solely duuding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