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anaDisorder-Inducgement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Linkyed Resistive A,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Advnomaly Near Feisor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rromagnetic Ph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Island.ase Transition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abouts*Felix von Op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penFreie Univesurvivable,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rsitat BerlinWmade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te show that thwo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prae resistivity 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wastewaρ(T) of disordteered ferromagnr.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moets near, and 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wwabove, the Curw.etsap.org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Systeie temperaturem.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Tc genericallEMS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seriesy exhibits a s of “cost –benefit curves” of advanced technology and mtronger anomalanagement practy than the scaices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thling-based Fiseher-Langer pre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whidiction. Treatch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electing transport 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thbeyond the Bole justification for completion of the Ntzmann descripYC tion, we find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that within mestakeholders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Unian-field theorversity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aty, dρ/dT exhib the Eastern Regioits a |T-Tc|-1/2 singularityn En near Tc. Our results, being solely duergy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