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Using Municipal Scale Integrated Energy System Models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o </w:t>
      </w:r>
      <w:r>
        <w:rPr>
          <w:rFonts w:ascii="" w:hAnsi="" w:cs="" w:eastAsia=""/>
          <w:b w:val="false"/>
          <w:i w:val="false"/>
          <w:strike w:val="false"/>
          <w:color w:val=""/>
        </w:rPr>
        <w:t>F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ast </w:t>
      </w:r>
      <w:r>
        <w:rPr>
          <w:rFonts w:ascii="" w:hAnsi="" w:cs="" w:eastAsia=""/>
          <w:b w:val="false"/>
          <w:i w:val="false"/>
          <w:strike w:val="false"/>
          <w:color w:val=""/>
        </w:rPr>
        <w:t>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rack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nvestments in </w:t>
      </w:r>
      <w:r>
        <w:rPr>
          <w:rFonts w:ascii="" w:hAnsi="" w:cs="" w:eastAsia=""/>
          <w:b w:val="false"/>
          <w:i w:val="false"/>
          <w:strike w:val="false"/>
          <w:color w:val=""/>
        </w:rPr>
        <w:t>A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dvanced </w:t>
      </w:r>
      <w:r>
        <w:rPr>
          <w:rFonts w:ascii="" w:hAnsi="" w:cs="" w:eastAsia=""/>
          <w:b w:val="false"/>
          <w:i w:val="false"/>
          <w:strike w:val="false"/>
          <w:color w:val=""/>
        </w:rPr>
        <w:t>I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nfrastructure and </w:t>
      </w:r>
      <w:r>
        <w:rPr>
          <w:rFonts w:ascii="" w:hAnsi="" w:cs="" w:eastAsia=""/>
          <w:b w:val="false"/>
          <w:i w:val="false"/>
          <w:strike w:val="false"/>
          <w:color w:val=""/>
        </w:rPr>
        <w:t>M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anagement </w:t>
      </w:r>
      <w:r>
        <w:rPr>
          <w:rFonts w:ascii="" w:hAnsi="" w:cs="" w:eastAsia=""/>
          <w:b w:val="false"/>
          <w:i w:val="false"/>
          <w:strike w:val="false"/>
          <w:color w:val=""/>
        </w:rPr>
        <w:t>P</w:t>
      </w:r>
      <w:r>
        <w:rPr>
          <w:rFonts w:ascii="" w:hAnsi="" w:cs="" w:eastAsia=""/>
          <w:b w:val="false"/>
          <w:i w:val="false"/>
          <w:strike w:val="false"/>
          <w:color w:val=""/>
        </w:rPr>
        <w:t>ractices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Edward J. Linky, Esq.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Senior Energy Policy Advisor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   USEPA Region II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                         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New York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                           Disorder-Induced Resistive Anomaly Near Ferr                                       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Climate variability in the 21</w:t>
      </w:r>
      <w:r>
        <w:rPr>
          <w:rFonts w:ascii="" w:hAnsi="" w:cs="" w:eastAsia=""/>
          <w:b w:val="false"/>
          <w:i w:val="false"/>
          <w:strike w:val="false"/>
          <w:color w:val=""/>
        </w:rPr>
        <w:t>st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century will hasten the nomagnetic Phase Transitions*Felix von OppenFeed and pace for municipal environments to adapt to impacts ranging from sea level rise to the human health and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conomic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impacts of the Urban Heat Island. Energy system models reie Universitat BerlinWe show that the resican provide a flexible platform from which to accelerate the debate and decisistivity ρ(T) of disordered ferromagnets nearon</w:t>
      </w:r>
      <w:r>
        <w:rPr>
          <w:rFonts w:ascii="" w:hAnsi="" w:cs="" w:eastAsia=""/>
          <w:b w:val="false"/>
          <w:i w:val="false"/>
          <w:strike w:val="false"/>
          <w:color w:val=""/>
        </w:rPr>
        <w:t>, and above, the Curie temperature Tc generis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about infrastructure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investments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needed to make cities survivable, sustainable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desirable for human habitation. Decisions about how to manage solid and liquid materials flows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along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with energy will need to becally exhibits a stronger anomaly than the s made on an integrated basis.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EPA Region II is developing two versions of a municipal scale energy system model </w:t>
      </w:r>
      <w:r>
        <w:rPr>
          <w:rFonts w:ascii="" w:hAnsi="" w:cs="" w:eastAsia=""/>
          <w:b w:val="false"/>
          <w:i w:val="false"/>
          <w:strike w:val="false"/>
          <w:color w:val=""/>
        </w:rPr>
        <w:t>that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look at technologies and management practices </w:t>
      </w:r>
      <w:r>
        <w:rPr>
          <w:rFonts w:ascii="" w:hAnsi="" w:cs="" w:eastAsia=""/>
          <w:b w:val="false"/>
          <w:i w:val="false"/>
          <w:strike w:val="false"/>
          <w:color w:val=""/>
        </w:rPr>
        <w:t>for</w:t>
      </w:r>
      <w:r>
        <w:rPr>
          <w:rFonts w:ascii="" w:hAnsi="" w:cs="" w:eastAsia=""/>
          <w:b w:val="false"/>
          <w:i w:val="false"/>
          <w:strike w:val="false"/>
          <w:color w:val=""/>
        </w:rPr>
        <w:t>caling-based Fisher-Langer prediction. Treat reduc</w:t>
      </w:r>
      <w:r>
        <w:rPr>
          <w:rFonts w:ascii="" w:hAnsi="" w:cs="" w:eastAsia=""/>
          <w:b w:val="false"/>
          <w:i w:val="false"/>
          <w:strike w:val="false"/>
          <w:color w:val=""/>
        </w:rPr>
        <w:t>ing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greenhouse gas emissions from primary energy (electricity)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municipal solid waste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wastewater.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The output of the model based on the proven MARKAL platforing transport beyond the Boltzmann descriptim (see </w:t>
      </w:r>
      <w:r>
        <w:rPr>
          <w:rFonts w:ascii="" w:hAnsi="" w:cs="" w:eastAsia=""/>
          <w:b w:val="false"/>
          <w:i w:val="false"/>
          <w:strike w:val="false"/>
          <w:color w:val=""/>
        </w:rPr>
        <w:t>www.eon, we find that within mean-field theory, dtsap.org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is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designed to provide a “ρ/dT exhibits a |T-Tc|-1/2 singularity near blueprint” for a municipal Environmental Management System.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(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>)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Taking a series of “cost –bTc. Our results, being solely due to impuritenefit curves” of advanced technology and management practices and translating them into a municipal scale </w:t>
      </w:r>
      <w:r>
        <w:rPr>
          <w:rFonts w:ascii="" w:hAnsi="" w:cs="" w:eastAsia=""/>
          <w:b w:val="false"/>
          <w:i w:val="false"/>
          <w:strike w:val="false"/>
          <w:color w:val=""/>
        </w:rPr>
        <w:t>EMS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thought to be frontier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work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in the area of Industrial Ecology. These models are the </w:t>
      </w:r>
      <w:r>
        <w:rPr>
          <w:rFonts w:ascii="" w:hAnsi="" w:cs="" w:eastAsia=""/>
          <w:b w:val="false"/>
          <w:i w:val="false"/>
          <w:strike w:val="false"/>
          <w:color w:val=""/>
        </w:rPr>
        <w:t>Nies, are relevant to ferromagnets with low Tew York City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MARKAL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which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to date has an energy loop and has examined at an electric utility substation level the impact of  green building technologies as  a </w:t>
      </w:r>
      <w:r>
        <w:rPr>
          <w:rFonts w:ascii="" w:hAnsi="" w:cs="" w:eastAsia=""/>
          <w:b w:val="false"/>
          <w:i w:val="false"/>
          <w:strike w:val="false"/>
          <w:color w:val=""/>
        </w:rPr>
        <w:t>mitigation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measure for the electric distribution system of Consolidated Edison. It is hoped that a solid waste and waste water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loop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will be added in 2006. The second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which will serve as the justification for completion of the NYC model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is the Carolinac, such as SrRuO3 or diluted magnetic semico Puerto Rico integrated MARKAL which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will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contain electricity, waste water and solid wanductors, whose mobility near Tc is limited ste loops. The results of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ha</w:t>
      </w:r>
      <w:r>
        <w:rPr>
          <w:rFonts w:ascii="" w:hAnsi="" w:cs="" w:eastAsia=""/>
          <w:b w:val="false"/>
          <w:i w:val="false"/>
          <w:strike w:val="false"/>
          <w:color w:val=""/>
        </w:rPr>
        <w:t>ve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sparked interest by EPA Region VI in Dallas Texas and numerous stakeholders in that area including the Texas General Land Officby disorder.*Carsten Timm, M. E. Raikh, Felie and Austin Energy. The NYC model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was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 collaboration of EPA Region II, Brookhaven National Laboratory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and the State University of New York at Stony Brook.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To be presented at the Eastern Region Energy Water Needs</w:t>
      </w:r>
    </w:p>
    <w:p>
      <w:pPr>
        <w:pStyle w:val=""/>
        <w:jc w:val="center"/>
      </w:pPr>
      <w:r>
        <w:rPr>
          <w:rFonts w:ascii="" w:hAnsi="" w:cs="" w:eastAsia=""/>
          <w:b w:val="false"/>
          <w:i w:val="false"/>
          <w:strike w:val="false"/>
          <w:color w:val=""/>
        </w:rPr>
        <w:t>Assessment Workshop</w:t>
      </w:r>
      <w:r>
        <w:rPr>
          <w:rFonts w:ascii="" w:hAnsi="" w:cs="" w:eastAsia=""/>
          <w:b w:val="false"/>
          <w:i w:val="false"/>
          <w:strike w:val="false"/>
          <w:color w:val=""/>
        </w:rPr>
        <w:t>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December x von Oppen, Phys. Rev. Lett. 94, 036602 (2005).12-14</w:t>
      </w:r>
      <w:r>
        <w:rPr>
          <w:rFonts w:ascii="" w:hAnsi="" w:cs="" w:eastAsia=""/>
          <w:b w:val="false"/>
          <w:i w:val="false"/>
          <w:strike w:val="false"/>
          <w:color w:val=""/>
        </w:rPr>
        <w:t>, 2005,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</w:t>
      </w:r>
      <w:r>
        <w:rPr>
          <w:rFonts w:ascii="" w:hAnsi="" w:cs="" w:eastAsia=""/>
          <w:b w:val="false"/>
          <w:i w:val="false"/>
          <w:strike w:val="false"/>
          <w:color w:val=""/>
        </w:rPr>
        <w:t>Baltimore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, </w:t>
      </w:r>
      <w:r>
        <w:rPr>
          <w:rFonts w:ascii="" w:hAnsi="" w:cs="" w:eastAsia=""/>
          <w:b w:val="false"/>
          <w:i w:val="false"/>
          <w:strike w:val="false"/>
          <w:color w:val=""/>
        </w:rPr>
        <w:t>Maryland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    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2021-03-25T04:37:23Z</dcterms:created>
  <dc:creator>Apache POI</dc:creator>
</cp:coreProperties>
</file>