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false"/>
          <w:i w:val="false"/>
          <w:strike w:val="false"/>
          <w:color w:val=""/>
        </w:rPr>
        <w:t>Using Municipal Scale Integrated Energy System Models</w:t>
      </w:r>
      <w:r>
        <w:rPr>
          <w:rFonts w:ascii="" w:hAnsi="" w:cs="" w:eastAsia=""/>
          <w:b w:val="false"/>
          <w:i w:val="false"/>
          <w:strike w:val="false"/>
          <w:color w:val=""/>
        </w:rPr>
        <w:t xml:space="preserve"> t</w:t>
      </w:r>
      <w:r>
        <w:rPr>
          <w:rFonts w:ascii="" w:hAnsi="" w:cs="" w:eastAsia=""/>
          <w:b w:val="false"/>
          <w:i w:val="false"/>
          <w:strike w:val="false"/>
          <w:color w:val=""/>
        </w:rPr>
        <w:t xml:space="preserve">o </w:t>
      </w:r>
      <w:r>
        <w:rPr>
          <w:rFonts w:ascii="" w:hAnsi="" w:cs="" w:eastAsia=""/>
          <w:b w:val="false"/>
          <w:i w:val="false"/>
          <w:strike w:val="false"/>
          <w:color w:val=""/>
        </w:rPr>
        <w:t>F</w:t>
      </w:r>
      <w:r>
        <w:rPr>
          <w:rFonts w:ascii="" w:hAnsi="" w:cs="" w:eastAsia=""/>
          <w:b w:val="false"/>
          <w:i w:val="false"/>
          <w:strike w:val="false"/>
          <w:color w:val=""/>
        </w:rPr>
        <w:t xml:space="preserve">ast </w:t>
      </w:r>
      <w:r>
        <w:rPr>
          <w:rFonts w:ascii="" w:hAnsi="" w:cs="" w:eastAsia=""/>
          <w:b w:val="false"/>
          <w:i w:val="false"/>
          <w:strike w:val="false"/>
          <w:color w:val=""/>
        </w:rPr>
        <w:t>T</w:t>
      </w:r>
      <w:r>
        <w:rPr>
          <w:rFonts w:ascii="" w:hAnsi="" w:cs="" w:eastAsia=""/>
          <w:b w:val="false"/>
          <w:i w:val="false"/>
          <w:strike w:val="false"/>
          <w:color w:val=""/>
        </w:rPr>
        <w:t xml:space="preserve">rack </w:t>
      </w:r>
      <w:r>
        <w:rPr>
          <w:rFonts w:ascii="" w:hAnsi="" w:cs="" w:eastAsia=""/>
          <w:b w:val="false"/>
          <w:i w:val="false"/>
          <w:strike w:val="false"/>
          <w:color w:val=""/>
        </w:rPr>
        <w:t>I</w:t>
      </w:r>
      <w:r>
        <w:rPr>
          <w:rFonts w:ascii="" w:hAnsi="" w:cs="" w:eastAsia=""/>
          <w:b w:val="false"/>
          <w:i w:val="false"/>
          <w:strike w:val="false"/>
          <w:color w:val=""/>
        </w:rPr>
        <w:t xml:space="preserve">nvestments in </w:t>
      </w:r>
      <w:r>
        <w:rPr>
          <w:rFonts w:ascii="" w:hAnsi="" w:cs="" w:eastAsia=""/>
          <w:b w:val="false"/>
          <w:i w:val="false"/>
          <w:strike w:val="false"/>
          <w:color w:val=""/>
        </w:rPr>
        <w:t>A</w:t>
      </w:r>
      <w:r>
        <w:rPr>
          <w:rFonts w:ascii="" w:hAnsi="" w:cs="" w:eastAsia=""/>
          <w:b w:val="false"/>
          <w:i w:val="false"/>
          <w:strike w:val="false"/>
          <w:color w:val=""/>
        </w:rPr>
        <w:t xml:space="preserve">dvanced </w:t>
      </w:r>
      <w:r>
        <w:rPr>
          <w:rFonts w:ascii="" w:hAnsi="" w:cs="" w:eastAsia=""/>
          <w:b w:val="false"/>
          <w:i w:val="false"/>
          <w:strike w:val="false"/>
          <w:color w:val=""/>
        </w:rPr>
        <w:t>I</w:t>
      </w:r>
      <w:r>
        <w:rPr>
          <w:rFonts w:ascii="" w:hAnsi="" w:cs="" w:eastAsia=""/>
          <w:b w:val="false"/>
          <w:i w:val="false"/>
          <w:strike w:val="false"/>
          <w:color w:val=""/>
        </w:rPr>
        <w:t xml:space="preserve">nfrastructure and </w:t>
      </w:r>
      <w:r>
        <w:rPr>
          <w:rFonts w:ascii="" w:hAnsi="" w:cs="" w:eastAsia=""/>
          <w:b w:val="false"/>
          <w:i w:val="false"/>
          <w:strike w:val="false"/>
          <w:color w:val=""/>
        </w:rPr>
        <w:t>M</w:t>
      </w:r>
      <w:r>
        <w:rPr>
          <w:rFonts w:ascii="" w:hAnsi="" w:cs="" w:eastAsia=""/>
          <w:b w:val="false"/>
          <w:i w:val="false"/>
          <w:strike w:val="false"/>
          <w:color w:val=""/>
        </w:rPr>
        <w:t xml:space="preserve">anagement </w:t>
      </w:r>
      <w:r>
        <w:rPr>
          <w:rFonts w:ascii="" w:hAnsi="" w:cs="" w:eastAsia=""/>
          <w:b w:val="false"/>
          <w:i w:val="false"/>
          <w:strike w:val="false"/>
          <w:color w:val=""/>
        </w:rPr>
        <w:t>P</w:t>
      </w:r>
      <w:r>
        <w:rPr>
          <w:rFonts w:ascii="" w:hAnsi="" w:cs="" w:eastAsia=""/>
          <w:b w:val="false"/>
          <w:i w:val="false"/>
          <w:strike w:val="false"/>
          <w:color w:val=""/>
        </w:rPr>
        <w:t>ractices</w:t>
      </w:r>
    </w:p>
    <w:p>
      <w:pPr>
        <w:pStyle w:val=""/>
        <w:jc w:val="left"/>
      </w:pPr>
      <w:r>
        <w:rPr>
          <w:rFonts w:ascii="" w:hAnsi="" w:cs="" w:eastAsia=""/>
          <w:b w:val="false"/>
          <w:i w:val="false"/>
          <w:strike w:val="false"/>
          <w:color w:val=""/>
        </w:rPr>
        <w:t xml:space="preserve">           Disorder-Induced Resistive Anomaly Near Ferromagnetic Phase Transitions*Felix von OppenFreie Universitat BerlinWe show that the resistivity ρ(T) of disordered ferromagnets near, and above, the Curie temperature Tc generically exhibits a stronger anomaly than the scaling-based Fisher-Langer prediction. Treating transport beyond the Boltzmann description                                             Edward J. Linky, Esq.</w:t>
      </w:r>
    </w:p>
    <w:p>
      <w:pPr>
        <w:pStyle w:val=""/>
        <w:jc w:val="left"/>
      </w:pPr>
      <w:r>
        <w:rPr>
          <w:rFonts w:ascii="" w:hAnsi="" w:cs="" w:eastAsia=""/>
          <w:b w:val="false"/>
          <w:i w:val="false"/>
          <w:strike w:val="false"/>
          <w:color w:val=""/>
        </w:rPr>
        <w:t xml:space="preserve">                                                    Senior Energy Policy Advisor</w:t>
      </w:r>
    </w:p>
    <w:p>
      <w:pPr>
        <w:pStyle w:val=""/>
        <w:jc w:val="left"/>
      </w:pPr>
      <w:r>
        <w:rPr>
          <w:rFonts w:ascii="" w:hAnsi="" w:cs="" w:eastAsia=""/>
          <w:b w:val="false"/>
          <w:i w:val="false"/>
          <w:strike w:val="false"/>
          <w:color w:val=""/>
        </w:rPr>
        <w:t xml:space="preserve">                                                         USEPA Region II</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New York</w:t>
      </w:r>
      <w:r>
        <w:rPr>
          <w:rFonts w:ascii="" w:hAnsi="" w:cs="" w:eastAsia=""/>
          <w:b w:val="false"/>
          <w:i w:val="false"/>
          <w:strike w:val="false"/>
          <w:color w:val=""/>
        </w:rPr>
        <w:t xml:space="preserve">, </w:t>
      </w:r>
      <w:r>
        <w:rPr>
          <w:rFonts w:ascii="" w:hAnsi="" w:cs="" w:eastAsia=""/>
          <w:b w:val="false"/>
          <w:i w:val="false"/>
          <w:strike w:val="false"/>
          <w:color w:val=""/>
        </w:rPr>
        <w:t>New York</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Climate variability in the 21</w:t>
      </w:r>
      <w:r>
        <w:rPr>
          <w:rFonts w:ascii="" w:hAnsi="" w:cs="" w:eastAsia=""/>
          <w:b w:val="false"/>
          <w:i w:val="false"/>
          <w:strike w:val="false"/>
          <w:color w:val=""/>
        </w:rPr>
        <w:t>st</w:t>
      </w:r>
      <w:r>
        <w:rPr>
          <w:rFonts w:ascii="" w:hAnsi="" w:cs="" w:eastAsia=""/>
          <w:b w:val="false"/>
          <w:i w:val="false"/>
          <w:strike w:val="false"/>
          <w:color w:val=""/>
        </w:rPr>
        <w:t xml:space="preserve"> century will hasten the need and pace for municipal environments to adapt to impacts ranging from sea level rise to the human health and</w:t>
      </w:r>
    </w:p>
    <w:p>
      <w:pPr>
        <w:pStyle w:val=""/>
        <w:jc w:val="left"/>
      </w:pPr>
      <w:r>
        <w:rPr>
          <w:rFonts w:ascii="" w:hAnsi="" w:cs="" w:eastAsia=""/>
          <w:b w:val="false"/>
          <w:i w:val="false"/>
          <w:strike w:val="false"/>
          <w:color w:val=""/>
        </w:rPr>
        <w:t>e</w:t>
      </w:r>
      <w:r>
        <w:rPr>
          <w:rFonts w:ascii="" w:hAnsi="" w:cs="" w:eastAsia=""/>
          <w:b w:val="false"/>
          <w:i w:val="false"/>
          <w:strike w:val="false"/>
          <w:color w:val=""/>
        </w:rPr>
        <w:t>conomic</w:t>
      </w:r>
      <w:r>
        <w:rPr>
          <w:rFonts w:ascii="" w:hAnsi="" w:cs="" w:eastAsia=""/>
          <w:b w:val="false"/>
          <w:i w:val="false"/>
          <w:strike w:val="false"/>
          <w:color w:val=""/>
        </w:rPr>
        <w:t xml:space="preserve"> impacts of the Urban Heat Island. Energy system models can provide a flexible platform from which to accelerate the debate and decision</w:t>
      </w:r>
      <w:r>
        <w:rPr>
          <w:rFonts w:ascii="" w:hAnsi="" w:cs="" w:eastAsia=""/>
          <w:b w:val="false"/>
          <w:i w:val="false"/>
          <w:strike w:val="false"/>
          <w:color w:val=""/>
        </w:rPr>
        <w:t>s</w:t>
      </w:r>
      <w:r>
        <w:rPr>
          <w:rFonts w:ascii="" w:hAnsi="" w:cs="" w:eastAsia=""/>
          <w:b w:val="false"/>
          <w:i w:val="false"/>
          <w:strike w:val="false"/>
          <w:color w:val=""/>
        </w:rPr>
        <w:t xml:space="preserve"> about infrastructure</w:t>
      </w:r>
    </w:p>
    <w:p>
      <w:pPr>
        <w:pStyle w:val=""/>
        <w:jc w:val="left"/>
      </w:pPr>
      <w:r>
        <w:rPr>
          <w:rFonts w:ascii="" w:hAnsi="" w:cs="" w:eastAsia=""/>
          <w:b w:val="false"/>
          <w:i w:val="false"/>
          <w:strike w:val="false"/>
          <w:color w:val=""/>
        </w:rPr>
        <w:t>investments</w:t>
      </w:r>
      <w:r>
        <w:rPr>
          <w:rFonts w:ascii="" w:hAnsi="" w:cs="" w:eastAsia=""/>
          <w:b w:val="false"/>
          <w:i w:val="false"/>
          <w:strike w:val="false"/>
          <w:color w:val=""/>
        </w:rPr>
        <w:t xml:space="preserve"> needed to make cities survivable, sustainable</w:t>
      </w:r>
      <w:r>
        <w:rPr>
          <w:rFonts w:ascii="" w:hAnsi="" w:cs="" w:eastAsia=""/>
          <w:b w:val="false"/>
          <w:i w:val="false"/>
          <w:strike w:val="false"/>
          <w:color w:val=""/>
        </w:rPr>
        <w:t>,</w:t>
      </w:r>
      <w:r>
        <w:rPr>
          <w:rFonts w:ascii="" w:hAnsi="" w:cs="" w:eastAsia=""/>
          <w:b w:val="false"/>
          <w:i w:val="false"/>
          <w:strike w:val="false"/>
          <w:color w:val=""/>
        </w:rPr>
        <w:t xml:space="preserve"> and desirable for human habitation. Decisions about how to manage solid and liquid materials flows</w:t>
      </w:r>
    </w:p>
    <w:p>
      <w:pPr>
        <w:pStyle w:val=""/>
        <w:jc w:val="left"/>
      </w:pPr>
      <w:r>
        <w:rPr>
          <w:rFonts w:ascii="" w:hAnsi="" w:cs="" w:eastAsia=""/>
          <w:b w:val="false"/>
          <w:i w:val="false"/>
          <w:strike w:val="false"/>
          <w:color w:val=""/>
        </w:rPr>
        <w:t>along</w:t>
      </w:r>
      <w:r>
        <w:rPr>
          <w:rFonts w:ascii="" w:hAnsi="" w:cs="" w:eastAsia=""/>
          <w:b w:val="false"/>
          <w:i w:val="false"/>
          <w:strike w:val="false"/>
          <w:color w:val=""/>
        </w:rPr>
        <w:t xml:space="preserve"> with energy will need to be made on an integrated basis.</w:t>
      </w:r>
    </w:p>
    <w:p>
      <w:pPr>
        <w:pStyle w:val=""/>
        <w:jc w:val="left"/>
      </w:pPr>
      <w:r>
        <w:rPr>
          <w:rFonts w:ascii="" w:hAnsi="" w:cs="" w:eastAsia=""/>
          <w:b w:val="false"/>
          <w:i w:val="false"/>
          <w:strike w:val="false"/>
          <w:color w:val=""/>
        </w:rPr>
        <w:t xml:space="preserve">EPA Region II is developing two versions of a municipal scale energy system model </w:t>
      </w:r>
      <w:r>
        <w:rPr>
          <w:rFonts w:ascii="" w:hAnsi="" w:cs="" w:eastAsia=""/>
          <w:b w:val="false"/>
          <w:i w:val="false"/>
          <w:strike w:val="false"/>
          <w:color w:val=""/>
        </w:rPr>
        <w:t>that</w:t>
      </w:r>
      <w:r>
        <w:rPr>
          <w:rFonts w:ascii="" w:hAnsi="" w:cs="" w:eastAsia=""/>
          <w:b w:val="false"/>
          <w:i w:val="false"/>
          <w:strike w:val="false"/>
          <w:color w:val=""/>
        </w:rPr>
        <w:t xml:space="preserve"> will look at technologies and management practices </w:t>
      </w:r>
      <w:r>
        <w:rPr>
          <w:rFonts w:ascii="" w:hAnsi="" w:cs="" w:eastAsia=""/>
          <w:b w:val="false"/>
          <w:i w:val="false"/>
          <w:strike w:val="false"/>
          <w:color w:val=""/>
        </w:rPr>
        <w:t>for</w:t>
      </w:r>
      <w:r>
        <w:rPr>
          <w:rFonts w:ascii="" w:hAnsi="" w:cs="" w:eastAsia=""/>
          <w:b w:val="false"/>
          <w:i w:val="false"/>
          <w:strike w:val="false"/>
          <w:color w:val=""/>
        </w:rPr>
        <w:t xml:space="preserve"> reduc</w:t>
      </w:r>
      <w:r>
        <w:rPr>
          <w:rFonts w:ascii="" w:hAnsi="" w:cs="" w:eastAsia=""/>
          <w:b w:val="false"/>
          <w:i w:val="false"/>
          <w:strike w:val="false"/>
          <w:color w:val=""/>
        </w:rPr>
        <w:t>ing</w:t>
      </w:r>
      <w:r>
        <w:rPr>
          <w:rFonts w:ascii="" w:hAnsi="" w:cs="" w:eastAsia=""/>
          <w:b w:val="false"/>
          <w:i w:val="false"/>
          <w:strike w:val="false"/>
          <w:color w:val=""/>
        </w:rPr>
        <w:t xml:space="preserve"> greenhouse gas emissions from primary energy (electricity)</w:t>
      </w:r>
      <w:r>
        <w:rPr>
          <w:rFonts w:ascii="" w:hAnsi="" w:cs="" w:eastAsia=""/>
          <w:b w:val="false"/>
          <w:i w:val="false"/>
          <w:strike w:val="false"/>
          <w:color w:val=""/>
        </w:rPr>
        <w:t>,</w:t>
      </w:r>
      <w:r>
        <w:rPr>
          <w:rFonts w:ascii="" w:hAnsi="" w:cs="" w:eastAsia=""/>
          <w:b w:val="false"/>
          <w:i w:val="false"/>
          <w:strike w:val="false"/>
          <w:color w:val=""/>
        </w:rPr>
        <w:t xml:space="preserve"> municipal solid waste</w:t>
      </w:r>
      <w:r>
        <w:rPr>
          <w:rFonts w:ascii="" w:hAnsi="" w:cs="" w:eastAsia=""/>
          <w:b w:val="false"/>
          <w:i w:val="false"/>
          <w:strike w:val="false"/>
          <w:color w:val=""/>
        </w:rPr>
        <w:t>,</w:t>
      </w:r>
      <w:r>
        <w:rPr>
          <w:rFonts w:ascii="" w:hAnsi="" w:cs="" w:eastAsia=""/>
          <w:b w:val="false"/>
          <w:i w:val="false"/>
          <w:strike w:val="false"/>
          <w:color w:val=""/>
        </w:rPr>
        <w:t xml:space="preserve"> and wastewater.</w:t>
      </w:r>
      <w:r>
        <w:rPr>
          <w:rFonts w:ascii="" w:hAnsi="" w:cs="" w:eastAsia=""/>
          <w:b w:val="false"/>
          <w:i w:val="false"/>
          <w:strike w:val="false"/>
          <w:color w:val=""/>
        </w:rPr>
        <w:t xml:space="preserve"> The output of the model based on the proven MARKAL platform (see </w:t>
      </w:r>
      <w:r>
        <w:rPr>
          <w:rFonts w:ascii="" w:hAnsi="" w:cs="" w:eastAsia=""/>
          <w:b w:val="false"/>
          <w:i w:val="false"/>
          <w:strike w:val="false"/>
          <w:color w:val=""/>
        </w:rPr>
        <w:t>www.etsap.org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designed to provide a “blueprint” for a municipal Environmental Management System.</w:t>
      </w:r>
    </w:p>
    <w:p>
      <w:pPr>
        <w:pStyle w:val=""/>
        <w:jc w:val="left"/>
      </w:pPr>
      <w:r>
        <w:rPr>
          <w:rFonts w:ascii="" w:hAnsi="" w:cs="" w:eastAsia=""/>
          <w:b w:val="false"/>
          <w:i w:val="false"/>
          <w:strike w:val="false"/>
          <w:color w:val=""/>
        </w:rPr>
        <w:t>(</w:t>
      </w:r>
      <w:r>
        <w:rPr>
          <w:rFonts w:ascii="" w:hAnsi="" w:cs="" w:eastAsia=""/>
          <w:b w:val="false"/>
          <w:i w:val="false"/>
          <w:strike w:val="false"/>
          <w:color w:val=""/>
        </w:rPr>
        <w:t>EMS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Taking a series of “cost –benefit curves” of advanced technology and management practices and translating them into a municipal scale </w:t>
      </w:r>
      <w:r>
        <w:rPr>
          <w:rFonts w:ascii="" w:hAnsi="" w:cs="" w:eastAsia=""/>
          <w:b w:val="false"/>
          <w:i w:val="false"/>
          <w:strike w:val="false"/>
          <w:color w:val=""/>
        </w:rPr>
        <w:t>EMS</w:t>
      </w:r>
      <w:r>
        <w:rPr>
          <w:rFonts w:ascii="" w:hAnsi="" w:cs="" w:eastAsia=""/>
          <w:b w:val="false"/>
          <w:i w:val="false"/>
          <w:strike w:val="false"/>
          <w:color w:val=""/>
        </w:rPr>
        <w:t xml:space="preserve"> is thought to be frontier</w:t>
      </w:r>
    </w:p>
    <w:p>
      <w:pPr>
        <w:pStyle w:val=""/>
        <w:jc w:val="left"/>
      </w:pPr>
      <w:r>
        <w:rPr>
          <w:rFonts w:ascii="" w:hAnsi="" w:cs="" w:eastAsia=""/>
          <w:b w:val="false"/>
          <w:i w:val="false"/>
          <w:strike w:val="false"/>
          <w:color w:val=""/>
        </w:rPr>
        <w:t>work</w:t>
      </w:r>
      <w:r>
        <w:rPr>
          <w:rFonts w:ascii="" w:hAnsi="" w:cs="" w:eastAsia=""/>
          <w:b w:val="false"/>
          <w:i w:val="false"/>
          <w:strike w:val="false"/>
          <w:color w:val=""/>
        </w:rPr>
        <w:t xml:space="preserve"> in the area of Industrial Ecology. These models are the </w:t>
      </w:r>
      <w:r>
        <w:rPr>
          <w:rFonts w:ascii="" w:hAnsi="" w:cs="" w:eastAsia=""/>
          <w:b w:val="false"/>
          <w:i w:val="false"/>
          <w:strike w:val="false"/>
          <w:color w:val=""/>
        </w:rPr>
        <w:t>New York City</w:t>
      </w:r>
      <w:r>
        <w:rPr>
          <w:rFonts w:ascii="" w:hAnsi="" w:cs="" w:eastAsia=""/>
          <w:b w:val="false"/>
          <w:i w:val="false"/>
          <w:strike w:val="false"/>
          <w:color w:val=""/>
        </w:rPr>
        <w:t xml:space="preserve"> MARKAL</w:t>
      </w:r>
      <w:r>
        <w:rPr>
          <w:rFonts w:ascii="" w:hAnsi="" w:cs="" w:eastAsia=""/>
          <w:b w:val="false"/>
          <w:i w:val="false"/>
          <w:strike w:val="false"/>
          <w:color w:val=""/>
        </w:rPr>
        <w:t>,</w:t>
      </w:r>
    </w:p>
    <w:p>
      <w:pPr>
        <w:pStyle w:val=""/>
        <w:jc w:val="left"/>
      </w:pPr>
      <w:r>
        <w:rPr>
          <w:rFonts w:ascii="" w:hAnsi="" w:cs="" w:eastAsia=""/>
          <w:b w:val="false"/>
          <w:i w:val="false"/>
          <w:strike w:val="false"/>
          <w:color w:val=""/>
        </w:rPr>
        <w:t>which</w:t>
      </w:r>
      <w:r>
        <w:rPr>
          <w:rFonts w:ascii="" w:hAnsi="" w:cs="" w:eastAsia=""/>
          <w:b w:val="false"/>
          <w:i w:val="false"/>
          <w:strike w:val="false"/>
          <w:color w:val=""/>
        </w:rPr>
        <w:t xml:space="preserve"> to date has an energy loop and has examined at an electric utility substation level the impact of  green building technologies as  a </w:t>
      </w:r>
      <w:r>
        <w:rPr>
          <w:rFonts w:ascii="" w:hAnsi="" w:cs="" w:eastAsia=""/>
          <w:b w:val="false"/>
          <w:i w:val="false"/>
          <w:strike w:val="false"/>
          <w:color w:val=""/>
        </w:rPr>
        <w:t>mitigation</w:t>
      </w:r>
      <w:r>
        <w:rPr>
          <w:rFonts w:ascii="" w:hAnsi="" w:cs="" w:eastAsia=""/>
          <w:b w:val="false"/>
          <w:i w:val="false"/>
          <w:strike w:val="false"/>
          <w:color w:val=""/>
        </w:rPr>
        <w:t xml:space="preserve"> measure for the electric distribution system of Consolidated Edison. It is hoped that a solid waste and waste water</w:t>
      </w:r>
    </w:p>
    <w:p>
      <w:pPr>
        <w:pStyle w:val=""/>
        <w:jc w:val="left"/>
      </w:pPr>
      <w:r>
        <w:rPr>
          <w:rFonts w:ascii="" w:hAnsi="" w:cs="" w:eastAsia=""/>
          <w:b w:val="false"/>
          <w:i w:val="false"/>
          <w:strike w:val="false"/>
          <w:color w:val=""/>
        </w:rPr>
        <w:t>loop</w:t>
      </w:r>
      <w:r>
        <w:rPr>
          <w:rFonts w:ascii="" w:hAnsi="" w:cs="" w:eastAsia=""/>
          <w:b w:val="false"/>
          <w:i w:val="false"/>
          <w:strike w:val="false"/>
          <w:color w:val=""/>
        </w:rPr>
        <w:t xml:space="preserve"> will be added in 2006. The second model</w:t>
      </w:r>
      <w:r>
        <w:rPr>
          <w:rFonts w:ascii="" w:hAnsi="" w:cs="" w:eastAsia=""/>
          <w:b w:val="false"/>
          <w:i w:val="false"/>
          <w:strike w:val="false"/>
          <w:color w:val=""/>
        </w:rPr>
        <w:t>,</w:t>
      </w:r>
      <w:r>
        <w:rPr>
          <w:rFonts w:ascii="" w:hAnsi="" w:cs="" w:eastAsia=""/>
          <w:b w:val="false"/>
          <w:i w:val="false"/>
          <w:strike w:val="false"/>
          <w:color w:val=""/>
        </w:rPr>
        <w:t xml:space="preserve"> which will serve as the justification for completion of the NYC model</w:t>
      </w:r>
      <w:r>
        <w:rPr>
          <w:rFonts w:ascii="" w:hAnsi="" w:cs="" w:eastAsia=""/>
          <w:b w:val="false"/>
          <w:i w:val="false"/>
          <w:strike w:val="false"/>
          <w:color w:val=""/>
        </w:rPr>
        <w:t>,</w:t>
      </w:r>
      <w:r>
        <w:rPr>
          <w:rFonts w:ascii="" w:hAnsi="" w:cs="" w:eastAsia=""/>
          <w:b w:val="false"/>
          <w:i w:val="false"/>
          <w:strike w:val="false"/>
          <w:color w:val=""/>
        </w:rPr>
        <w:t xml:space="preserve"> is the Carolina Puerto Rico integrated MARKAL which</w:t>
      </w:r>
    </w:p>
    <w:p>
      <w:pPr>
        <w:pStyle w:val=""/>
        <w:jc w:val="left"/>
      </w:pPr>
      <w:r>
        <w:rPr>
          <w:rFonts w:ascii="" w:hAnsi="" w:cs="" w:eastAsia=""/>
          <w:b w:val="false"/>
          <w:i w:val="false"/>
          <w:strike w:val="false"/>
          <w:color w:val=""/>
        </w:rPr>
        <w:t>will</w:t>
      </w:r>
      <w:r>
        <w:rPr>
          <w:rFonts w:ascii="" w:hAnsi="" w:cs="" w:eastAsia=""/>
          <w:b w:val="false"/>
          <w:i w:val="false"/>
          <w:strike w:val="false"/>
          <w:color w:val=""/>
        </w:rPr>
        <w:t xml:space="preserve"> contain electricity, waste water and solid waste loops. The results of the NYC Model</w:t>
      </w:r>
    </w:p>
    <w:p>
      <w:pPr>
        <w:pStyle w:val=""/>
        <w:jc w:val="left"/>
      </w:pPr>
      <w:r>
        <w:rPr>
          <w:rFonts w:ascii="" w:hAnsi="" w:cs="" w:eastAsia=""/>
          <w:b w:val="false"/>
          <w:i w:val="false"/>
          <w:strike w:val="false"/>
          <w:color w:val=""/>
        </w:rPr>
        <w:t>ha</w:t>
      </w:r>
      <w:r>
        <w:rPr>
          <w:rFonts w:ascii="" w:hAnsi="" w:cs="" w:eastAsia=""/>
          <w:b w:val="false"/>
          <w:i w:val="false"/>
          <w:strike w:val="false"/>
          <w:color w:val=""/>
        </w:rPr>
        <w:t>ve</w:t>
      </w:r>
      <w:r>
        <w:rPr>
          <w:rFonts w:ascii="" w:hAnsi="" w:cs="" w:eastAsia=""/>
          <w:b w:val="false"/>
          <w:i w:val="false"/>
          <w:strike w:val="false"/>
          <w:color w:val=""/>
        </w:rPr>
        <w:t xml:space="preserve"> sparked interest by EPA Region VI in Dallas Texas and numerous stakeholders in that area incl, we find that within mean-field theory, dρ/dT exhibits a |T-Tc|-1/2 singularity near Tc. Our results, being solely due to impurities, are relevant to ferromagnets with low Tc, such as SrRuO3 or diluted magnetic semiconductors, whose mobility near Tc is limited by disorder.*Carsten Timm, M. E. Raikh, Felix von Oppen, Phys. Rev. Lett. 94, 036602 (2005).uding the Texas General Land Office and Austin Energy. The NYC model</w:t>
      </w:r>
    </w:p>
    <w:p>
      <w:pPr>
        <w:pStyle w:val=""/>
        <w:jc w:val="left"/>
      </w:pPr>
      <w:r>
        <w:rPr>
          <w:rFonts w:ascii="" w:hAnsi="" w:cs="" w:eastAsia=""/>
          <w:b w:val="false"/>
          <w:i w:val="false"/>
          <w:strike w:val="false"/>
          <w:color w:val=""/>
        </w:rPr>
        <w:t>was</w:t>
      </w:r>
      <w:r>
        <w:rPr>
          <w:rFonts w:ascii="" w:hAnsi="" w:cs="" w:eastAsia=""/>
          <w:b w:val="false"/>
          <w:i w:val="false"/>
          <w:strike w:val="false"/>
          <w:color w:val=""/>
        </w:rPr>
        <w:t xml:space="preserve"> a collaboration of EPA Region II, Brookhaven National Laboratory</w:t>
      </w:r>
      <w:r>
        <w:rPr>
          <w:rFonts w:ascii="" w:hAnsi="" w:cs="" w:eastAsia=""/>
          <w:b w:val="false"/>
          <w:i w:val="false"/>
          <w:strike w:val="false"/>
          <w:color w:val=""/>
        </w:rPr>
        <w:t>,</w:t>
      </w:r>
      <w:r>
        <w:rPr>
          <w:rFonts w:ascii="" w:hAnsi="" w:cs="" w:eastAsia=""/>
          <w:b w:val="false"/>
          <w:i w:val="false"/>
          <w:strike w:val="false"/>
          <w:color w:val=""/>
        </w:rPr>
        <w:t xml:space="preserve"> and the State University of New York at Stony Brook.</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To be presented at the Eastern Region Energy Water Needs</w:t>
      </w:r>
    </w:p>
    <w:p>
      <w:pPr>
        <w:pStyle w:val=""/>
        <w:jc w:val="center"/>
      </w:pPr>
      <w:r>
        <w:rPr>
          <w:rFonts w:ascii="" w:hAnsi="" w:cs="" w:eastAsia=""/>
          <w:b w:val="false"/>
          <w:i w:val="false"/>
          <w:strike w:val="false"/>
          <w:color w:val=""/>
        </w:rPr>
        <w:t>Assessment Workshop</w:t>
      </w:r>
      <w:r>
        <w:rPr>
          <w:rFonts w:ascii="" w:hAnsi="" w:cs="" w:eastAsia=""/>
          <w:b w:val="false"/>
          <w:i w:val="false"/>
          <w:strike w:val="false"/>
          <w:color w:val=""/>
        </w:rPr>
        <w:t>,</w:t>
      </w:r>
      <w:r>
        <w:rPr>
          <w:rFonts w:ascii="" w:hAnsi="" w:cs="" w:eastAsia=""/>
          <w:b w:val="false"/>
          <w:i w:val="false"/>
          <w:strike w:val="false"/>
          <w:color w:val=""/>
        </w:rPr>
        <w:t xml:space="preserve"> December 12-14</w:t>
      </w:r>
      <w:r>
        <w:rPr>
          <w:rFonts w:ascii="" w:hAnsi="" w:cs="" w:eastAsia=""/>
          <w:b w:val="false"/>
          <w:i w:val="false"/>
          <w:strike w:val="false"/>
          <w:color w:val=""/>
        </w:rPr>
        <w:t>, 2005,</w:t>
      </w:r>
      <w:r>
        <w:rPr>
          <w:rFonts w:ascii="" w:hAnsi="" w:cs="" w:eastAsia=""/>
          <w:b w:val="false"/>
          <w:i w:val="false"/>
          <w:strike w:val="false"/>
          <w:color w:val=""/>
        </w:rPr>
        <w:t xml:space="preserve"> </w:t>
      </w:r>
      <w:r>
        <w:rPr>
          <w:rFonts w:ascii="" w:hAnsi="" w:cs="" w:eastAsia=""/>
          <w:b w:val="false"/>
          <w:i w:val="false"/>
          <w:strike w:val="false"/>
          <w:color w:val=""/>
        </w:rPr>
        <w:t>Baltimore</w:t>
      </w:r>
      <w:r>
        <w:rPr>
          <w:rFonts w:ascii="" w:hAnsi="" w:cs="" w:eastAsia=""/>
          <w:b w:val="false"/>
          <w:i w:val="false"/>
          <w:strike w:val="false"/>
          <w:color w:val=""/>
        </w:rPr>
        <w:t xml:space="preserve">, </w:t>
      </w:r>
      <w:r>
        <w:rPr>
          <w:rFonts w:ascii="" w:hAnsi="" w:cs="" w:eastAsia=""/>
          <w:b w:val="false"/>
          <w:i w:val="false"/>
          <w:strike w:val="false"/>
          <w:color w:val=""/>
        </w:rPr>
        <w:t>Maryland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