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anaDisorder-Induced Resisgement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Linkytive Anomaly Near Ferr,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Advomagnetic Phase Transiisor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tions*Felix von OppenF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Island.reie Universitat Berli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aboutnWe show that the resi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stivity ρ(T) of disordsurvivable,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ered ferromagnets nearmade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t, and above, the Curiewo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 temperature Tc generictices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wastewacally exhibits a stronteger anomaly than the sr.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mocaling-based Fisher-Ladel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wwnger prediction. Treatw.etsap.org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Systeing transport beyond tm.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he Boltzmann descriptiEMS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serieson, we find that withi of “cost –benefit curves” of advanced technology and mn mean-field theory, danagement practρ/dT exhibits a |T-Tc|ices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th-1/2 singularity near eTc. Our results, being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 solely due to impuritch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electies, are relevant to fric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therromagnets with low Te justification for completion of the Nc, such as SrRuO3 or dYC iluted magnetic semicomodel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nductors, whose mobilistakeholders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Unity near Tc is limited 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atby disorder.*Carsten T the Eastern Regioimm, M. E. Raikh, Felix von Oppen, Phys. Revn En. Lett. 94, 036602 (2005).ergy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