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anaDgement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Linkyi,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Advsisor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o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Island.r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aboutd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esurvivable,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rmade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t-wo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praIctices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wastewantedr.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moudel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wwcw.etsap.org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dEMS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 of “cost –benefit curves” of advanced technology and mRanagement practeices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thsei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whisch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thie justification for completion of the NvYC emodel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UniAversity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atn the Eastern Regioomn Enaly Neergy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