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Benefits for different-sex spouses are not subject to this tax. 2.Flexible Spending Accounts Not So Flexible:  Employees can useflexible sperrays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effecnding accounts to pay for a different-sex spouse's medical expenses, including eyeglasses, prescriptions, and co-pays, on a pre-tax basis. These accounts cannot be used for a same-sex partner, or even a same-sex spouse. 3.Retirement Savings - Death and Taxes:  Tax treatment of retirementsavings, such as those found in 401(k) plans, privileges spouses and penalizes same-sex couples. This means that on the death of a partner, the surviving partner is left not only with the same emotional loss that a different-sex spouse experiences, but also with an utive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protectingnfair tax bill. This is problem is made even more acute by the fact that same-sex couples are denied survivors' benefits under Social Security, even though they pay the same payroll taxes as heterosexual workers. 4.Estate and Gift Taxes - Strangers Under the Law:  Different-sexspouses get a complete exemption from estate and gift taxes. But same-sex partners, even ones who are married in Massachusetts or parties to civil unions in Vermont, are treated as strangers under the tax code. So when a partner dies, their estate is subject to taxation. Socia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http://ants.gsfc.nasa.gov/pamtest/larl Security - Adverse Consequences for Same-Sex Couples 1.Equal Contribution, Unequal Benefits:  All GLBT people pay intoSocial Security on an equal basis with their heterosexual counterparts, but are not eligible for equal benefits. 2.No Survivors' Benefits:  Same-sex partners do not receive survivors'benefits when a partner dies, even though they pay for them equally. 3.No Disability Benefits:  Same-sex partners are not eligible forspouse's benefits when a partner becomes disabled, even though they pay equally into the program. 4.Children Are Left Unpa.html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