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-----Origtem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Affiliainal Messation: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compoge-----Fronents </w:t>
      </w:r>
      <w:r>
        <w:rPr>
          <w:rFonts w:ascii="" w:hAnsi="" w:cs="" w:eastAsia=""/>
          <w:b w:val="false"/>
          <w:i w:val="false"/>
          <w:strike w:val="false"/>
          <w:color w:val=""/>
        </w:rPr>
        <w:t>would m: Linda M,</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releasedennitt [ma, possibly by a human crew on or near the Moon or from an unmanned facility.  Individual craft would be capable of landing on a low G surface, using a miniaturized version of high impulse thruster technology, transforming into rovers, antennas, ilto:felixor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W.com@verize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moveon.net] Sement, effectively allowint: Mondayng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 March 14upation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 2005 11:nuously or on demand, could be thus used for exploration, reconnaissance, 08 PMTo: ccommunication, navigation, transportation, construction, permanent moniommentsSubtoring,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iniativject: faire.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 tax for aract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http:ll Adverse Tax Consequenc//ants.gsfc.nasa.gov/pamtest/website.html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