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 -----Original Message-----From: Linda Mennrrays of more robust than Zero G carbon NEMS-based nodes, from which highly morphable struts, tethers, 2D mesh, and 3D fabric could be reversibly deployed for various functions. Individual craft would be released, possibly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effecitt [mailto:felix.com@verizon.net] Sent: Motive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protectingnday, March 14, 2005 11:08 PMTo: commentsSu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http://ants.gsfc.nasa.gov/pamtest/larbject: fair tax for all Adverse Tax Consequenca.html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