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Uerein.  Any use of the text, section headings, or catchlines of the 1976 Code is subject to the terms of federal copyright and othS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