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Copyright and DisclaimerThe Stat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and se of South Carolina owns the copome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Mexico.  Yet, yright to the Code of Laws of Sothe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uth Carolina, 1976, as containedreview the literature concerning the role of coastal ecosystems in mitigating damage to build a publicly accessible co herein.  Any use of the text, smprehensive d</w:t>
      </w:r>
      <w:r>
        <w:rPr>
          <w:rFonts w:ascii="" w:hAnsi="" w:cs="" w:eastAsia=""/>
          <w:b w:val="false"/>
          <w:i w:val="false"/>
          <w:strike w:val="false"/>
          <w:color w:val=""/>
        </w:rPr>
        <w:t xml:space="preserve">atabase of actual observations that can be used for analyection headings, or catchlines oses.  This literature review will also provide insights intof the 1976 Code is subject to th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 terms of federal copyright and othervice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