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restoration projects involving barrier islands, coastal marshes and mangrove forests following catastr</w:t>
      </w:r>
      <w:r>
        <w:rPr>
          <w:rFonts w:ascii="" w:hAnsi="" w:cs="" w:eastAsia=""/>
          <w:b w:val="false"/>
          <w:i w:val="false"/>
          <w:strike w:val="false"/>
          <w:color w:val=""/>
        </w:rPr>
        <w:t>ophic disturbance   A commonly-held perception among the general public, policy-makers, and sr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rome scientists is that coastal ecosystems provide significant measurable protection to human habitation during extreme storms and tsunamis.  Restoration activities</w:t>
      </w:r>
      <w:r>
        <w:rPr>
          <w:rFonts w:ascii="" w:hAnsi="" w:cs="" w:eastAsia=""/>
          <w:b w:val="false"/>
          <w:i w:val="false"/>
          <w:strike w:val="false"/>
          <w:color w:val=""/>
        </w:rPr>
        <w:t xml:space="preserve"> have been particularly intensive after the December 2004 tsunami in the Indian Ocean and the 2005 hurricane season in the Gulf of Mexico.  Yet, 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filethe scientific evidence is equivocal.  Field observations and some modeling studies cast doubt on these widely </w:t>
      </w:r>
      <w:r>
        <w:rPr>
          <w:rFonts w:ascii="" w:hAnsi="" w:cs="" w:eastAsia=""/>
          <w:b w:val="false"/>
          <w:i w:val="false"/>
          <w:strike w:val="false"/>
          <w:color w:val=""/>
        </w:rPr>
        <w:t>held beliefs.  The scientific question can be cast in terms of the interactions between coastal ecosystems and extreme events.  Firstly, how are coastal ecosystems impacted by extreme events?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creview the literature concerning the role of coastal ecosystems in mitigating damage to build a publicly accessible coosts to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hereunder to exercise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mprehensive d</w:t>
      </w:r>
      <w:r>
        <w:rPr>
          <w:rFonts w:ascii="" w:hAnsi="" w:cs="" w:eastAsia=""/>
          <w:b w:val="false"/>
          <w:i w:val="false"/>
          <w:strike w:val="false"/>
          <w:color w:val=""/>
        </w:rPr>
        <w:t xml:space="preserve">atabase of actual observations that can be used for analywelfare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county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county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ases.  This literature review will also provide insights intony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county taxes. (7) If a county in demolishing unfit dwellings as permitted by this article contracts with a third party not employed by the county to do the work, it must bid the work in conformity with the Procurement Code applicable to the county. SECTION 3115340. Power of county to declare nuisances not impaired. Nothing in Section 3115330 shall be construed to impair or limit in any way the power of a county to define and declare nuisances and to cause their removal or abatement by summary proceedings or otherwise. SECTION 3115350. Standards in ordinances for determining fitness of dwelling for human habitation. An ordinance adopted by the county governing body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in the county.  Such conditions may include the following (without limiting the generality of the foregoing):  Defects therein increasing the hazards of fire, accidents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3115360.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county or, in the absence of such newspaper, in one printed and published in the municipality and circulating in the county.  A copy of such complaint or order shall be posted in a conspicuous place on the premises affected by the complaint or order.  A copy of such complaint or order shall also be filed with the clerk of court of the county in which the dwelling is located and such filing of the complaint or order shall have the same force and effect as other lis pendens notices provided by law how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expertise pertinent to this project.   Federal p</w:t>
      </w:r>
      <w:r>
        <w:rPr>
          <w:rFonts w:ascii="" w:hAnsi="" w:cs="" w:eastAsia=""/>
          <w:b w:val="false"/>
          <w:i w:val="false"/>
          <w:strike w:val="false"/>
          <w:color w:val=""/>
        </w:rPr>
        <w:t>artners include the National Park S. SECTION 3115370.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3115380. Provisions in ordinances with respect to powers of public officer. An ordinance adopted by the county governing body may authorize a public officer to exercise such powers as may be necessary or convenient to carry out and effectuate the purposes and provisions of this article, including the following powers in addition to others herein granted: (1) To investigate the dwelling conditions in the county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3115390.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3115400. Article provisions are cumulative. Nothing in this article shall be construed to abrogate or impair the powers of the courts or of any department of any municipality in the county to enforce any provisions of its charter or its ordinances or regulations, or to prevent or punish violations thereof and the powers conferred by this article shall be in addition and supplemental to the powers conferred by any other law. ervice and Fish and Wildlife Service, both of which have coastal units along all 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