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sadings, or catchlines of the 1976 Code is subject to the terms of federal copyright and other applicable laws and such text, section headings, or catchlines may not be rome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eproduced in whole or in part in any form or for inclusion in any material which is offered for sale or lease without the express written permission of the Chairman of tthe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he South Carolina Legislative Council or the Code Commissioner of South Carolina.This statutory database is current through the 2001 Regular Session and the 2001 Extra Sreview the literature concerning the role of coastal ecosystems in mitigating damage to build a publicly accessible coession of the South Carolina General Assembly.  Changes to the statutes enacted by the 2002 General Assembly, which will convene in January 2002, will be incorporated asmprehensive d</w:t>
      </w:r>
      <w:r>
        <w:rPr>
          <w:rFonts w:ascii="" w:hAnsi="" w:cs="" w:eastAsia=""/>
          <w:b w:val="false"/>
          <w:i w:val="false"/>
          <w:strike w:val="false"/>
          <w:color w:val=""/>
        </w:rPr>
        <w:t xml:space="preserve">atabase of actual observations that can be used for analy soon as possible.  Some changes enacted by the 2002 General Assembly may take immediate effect.  The State of South Carolina and the South Carolina Legislative Council ses.  This literature review will also provide insights intomake no warranty as to the accuracy of the data, and users rely on the data entirely at their own risk.The Legislative Council by law is charged with compiling and publi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Sshing the 1976 Code and it is maintained in a database which may be accessed for commercial purposes by contacting the Legislative Council or the office of Legislative Prinervice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