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replacidepng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opulation activities at these facilities:</w:t>
      </w:r>
    </w:p>
    <w:p>
      <w:pPr>
        <w:pStyle w:val=""/>
        <w:jc w:val="left"/>
      </w:pPr>
      <w:r>
        <w:rPr>
          <w:rFonts w:ascii="" w:hAnsi="" w:cs="" w:eastAsia=""/>
          <w:b w:val="false"/>
          <w:i w:val="false"/>
          <w:strike w:val="false"/>
          <w:color w:val=""/>
        </w:rPr>
        <w:t xml:space="preserve">Sunnyside, WA (bull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calf premises)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 detached garages, storage buildings, fences and walls and other similar type structures.Alter or Alteration means change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demolittal of 4 animals depopulated</w:t>
      </w:r>
    </w:p>
    <w:p>
      <w:pPr>
        <w:pStyle w:val=""/>
        <w:jc w:val="left"/>
      </w:pPr>
      <w:r>
        <w:rPr>
          <w:rFonts w:ascii="" w:hAnsi="" w:cs="" w:eastAsia=""/>
          <w:b w:val="false"/>
          <w:i w:val="false"/>
          <w:strike w:val="false"/>
          <w:color w:val="000000"/>
        </w:rPr>
        <w:t xml:space="preserve">Samples taken from the 15 animals depopulated in Connell, WA have tested negative.  All 170 samples from 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inthe index herd and the Mattawa herd have completed testing; results were negative for BSE.  The final test results for the samples taken at 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Acti mean 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thicer.4.Overcrowding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door which is available for unobstructed ventilation and which opens directly to the outdoors.Owner shall mean any person, agent, operator, firm, or corporation having a legal or equitable interest in the property, or recorded in the official record oe World Organ</w:t>
      </w:r>
      <w:r>
        <w:rPr>
          <w:rFonts w:ascii="" w:hAnsi="" w:cs="" w:eastAsia=""/>
          <w:b w:val="false"/>
          <w:i w:val="false"/>
          <w:strike w:val="false"/>
          <w:color w:val="000000"/>
        </w:rPr>
        <w:t>ization for Animal Health (OIE), the international animal heath staf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connendard setting organization, state that animalsction with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born on a premises within one year (before or after) of a BSE-affected animal can be considered of significant interest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that would change the structural safety of the building, or that would affect or change required exit facilities, a vital element of an elevator, plumbing, gas piping, wiring or heating installation, or that would bex animal.  </w:t>
      </w:r>
      <w:r>
        <w:rPr>
          <w:rFonts w:ascii="" w:hAnsi="" w:cs="" w:eastAsia=""/>
          <w:b w:val="false"/>
          <w:i w:val="false"/>
          <w:strike w:val="false"/>
          <w:color w:val=""/>
        </w:rPr>
        <w:t>Based on norma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burnl culling practices of local dairies, USDA’s Animal and Plant Health Inspecing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