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0048.ORDINANCE NO. 11345AN ORDINANCE TO AMEND PART II, CHATTANOOGA CI04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TY CODE, CHAPTER 18, ARTICLE VII, SECTION 18-123(h); CHAPTER 21,dep ARTICLE I, SECTIONS 21-1 THROUGH 21-25; CHAPTER 21, ARTICLE II,opulation activities at these facilities:</w:t>
      </w:r>
    </w:p>
    <w:p>
      <w:pPr>
        <w:pStyle w:val=""/>
        <w:jc w:val="left"/>
      </w:pPr>
      <w:r>
        <w:rPr>
          <w:rFonts w:ascii="" w:hAnsi="" w:cs="" w:eastAsia=""/>
          <w:b w:val="false"/>
          <w:i w:val="false"/>
          <w:strike w:val="false"/>
          <w:color w:val=""/>
        </w:rPr>
        <w:t xml:space="preserve">Sunnyside, WA (bull  SECTIONS 21-26, 21-28, 21-30; CHAPTER 21, ARTICLE III, SECTIONScalf premises) - 21-36 AND 21-40; CHAPTER 21, ARTICLE VII, SECTIONS 21-101 AND 2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to1-123; CHAPTER 24, ARTICLE X, DIV. 3, SECTIONS 24-341(c) AND 24-tal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345(c); CHAPTER 31, ARTICLE I, SECTION 31-2(b); AND CHAPTER 32, the index herd and the Mattawa herd have completed testing; results were negative for BSE.  The final test results for the samples taken at ARTICLE VIII, SECTION 32-174, RELATIVE TO NEIGHBORHOOD SERVICES.Boardman,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Acti______________________________________________________WHEREAS, Tvities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l.C.A. §§13-21-101 through 13-21-208, power is conferred on municocated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thipalities to exercise their police powers to repair, close or dee World Organ</w:t>
      </w:r>
      <w:r>
        <w:rPr>
          <w:rFonts w:ascii="" w:hAnsi="" w:cs="" w:eastAsia=""/>
          <w:b w:val="false"/>
          <w:i w:val="false"/>
          <w:strike w:val="false"/>
          <w:color w:val="000000"/>
        </w:rPr>
        <w:t>ization for Animal Health (OIE), the international animal heath stamolish certain unfit, dilapidated, defective, unsafe or unsanitandard setting organization, state that animalsry dangerous structures in the manner therein provided; andWHERE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indeAS, The City Council of the City of Chattanooga finds that therex animal.  </w:t>
      </w:r>
      <w:r>
        <w:rPr>
          <w:rFonts w:ascii="" w:hAnsi="" w:cs="" w:eastAsia=""/>
          <w:b w:val="false"/>
          <w:i w:val="false"/>
          <w:strike w:val="false"/>
          <w:color w:val=""/>
        </w:rPr>
        <w:t>Based on norma exists in Chattanooga structures which are unfit for human occul culling practices of local dairies, USDA’s Animal and Plant Health Inspecpation or use due to dilapidation, defects increasing the hazards of 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