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Conn21-36 AND 21-40; CHAPTER 21, ARTICLE VII, SECTIONS 21-101 AND 21-123; CHAPTER 24, ARTICLE X, DIV. 3, SECTIONS 24-341(c) AND 24-345(c); CHAPTER 31, ARTICLE I, SECTION 31-2(b); AND CHAPTER 32, ARTICLE VIII, SECTION 32-174, RELATIVE TO NEIGHBORHOOD SERVICES.__ell,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Ac____________________________________________________WHEREAS, T.C.A. §§13-21-101 through 13-21-208, power is conferred on municipalities to exercise their police powers to repair, close or demolish certain unfit, dilapidated, defective, unsafe or unsanitary 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interestdangerous structures in the manner therein provided; andWHEREAS, The City Council of the City of Chattanooga finds that there exists in Chattanooga structures which are unfit for human occupation or use due to dilapidation, defects increasing the hazards of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