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TICLE I, SECTIONS 21-1 THROUGH 21-25; CHAPTER 21, ARTICLE II, SECTIONS 21-26, 21-28, 21-30; CHAPTER 21, ARTICLE III, SECTIONS 21-36dep AND 21-40; CHAPTER 21, ARTICLE VII, SECTIONS 21-101 AND 21-123; CHAPTER 24, ARTICLE X, DIV. 3, SECTIONS 24-341(c) AND 24-345(c); Copulation activities at these facilities:</w:t>
      </w:r>
    </w:p>
    <w:p>
      <w:pPr>
        <w:pStyle w:val=""/>
        <w:jc w:val="left"/>
      </w:pPr>
      <w:r>
        <w:rPr>
          <w:rFonts w:ascii="" w:hAnsi="" w:cs="" w:eastAsia=""/>
          <w:b w:val="false"/>
          <w:i w:val="false"/>
          <w:strike w:val="false"/>
          <w:color w:val=""/>
        </w:rPr>
        <w:t xml:space="preserve">Sunnyside, WA (bull HAPTER 31, ARTICLE I, SECTION 31-2(b); AND CHAPTER 32, ARTICLE VIII, SECTION 32-174, RELATIVE TO NEIGHBORHOOD SERVICES.____________calf premises) -__________________________________________WHEREAS, T.C.A. §§13-21-101 through 13-21-208, power is conferred on municipalities to ex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toercise their police powers to repair, close or demolish certain unfit, dilapidated, defective, unsafe or unsanitary dangerous structal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tures in the manner therein provided; andWHEREAS, The City Council of the City of Chattanooga finds that there exists in Chattanoogthe index herd and the Mattawa herd have completed testing; results were negative for BSE.  The final test results for the samples taken at a structures which are unfit for human occupation or use due to dilapidation, defects increasing the hazards of fire, accident or oBoardman,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Actither calamities, lack of ventilation, light or sanitary facilities, and due to other conditions rendering such structures unsafe orvities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 unsanitary, or dangerous or detrimental to the health, safety or morals, or otherwise inimical to the welfare of the residents of 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thChattanooga;NOW, THEREFORE,BE IT ORDAINED BY THE CITY COUNCIL OF THE CITY OF CHATTANOOGA, TENNESSEE, as follows:SECTION 1.  That Che World Organ</w:t>
      </w:r>
      <w:r>
        <w:rPr>
          <w:rFonts w:ascii="" w:hAnsi="" w:cs="" w:eastAsia=""/>
          <w:b w:val="false"/>
          <w:i w:val="false"/>
          <w:strike w:val="false"/>
          <w:color w:val="000000"/>
        </w:rPr>
        <w:t>ization for Animal Health (OIE), the international animal heath staattanooga City Code, Part II, Chapter 18, Article VII, Section 18-123(h) is amended by deleting “Better Housing Commission” and repndard setting organization, state that animalslacing in lieu thereof  “Public Officer of the Department of Neighborhood Services”.SECTION 2.That Chattanooga City Code Part II, C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indehapter 21, Article I, Sections 21-1 through 21-25 be and is hereby amended by deleting the same in its entirety and inserting in lix animal.  </w:t>
      </w:r>
      <w:r>
        <w:rPr>
          <w:rFonts w:ascii="" w:hAnsi="" w:cs="" w:eastAsia=""/>
          <w:b w:val="false"/>
          <w:i w:val="false"/>
          <w:strike w:val="false"/>
          <w:color w:val=""/>
        </w:rPr>
        <w:t>Based on normaeu thereof the following:Sec. 21-1.Scope.The provisions of this code shall apply to all existing residential and nonresidential strl culling practices of local dairies, USDA’s Animal and Plant Health Inspecuctures and all existing premises and constitutes minimum requirements and standards for premises, structures, equipment, and facilitietion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