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 AND 21-40; CHAPTER 21, ARTICLE VII, SECTIONS 21-101 AND 21-123; CHAPTER 24, ARTICLE X, DIV. 3, SECTIONS 24-341(c) AND 24-345(c); CHAPTER 31, ARTICLE I, SECTION 31-2(b); AND CHAPTER 32, ARTICLE VIII, SECTION 32-174, RELATIVE TO NEIGHBORHOOD SERVICES.____________on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animal__________________________________________WHEREAS, T.C.A. §§13-21-101 through 13-21-208, power is conferred on municipalities to exercise their police powers to repair, close or demolish certain unfit, dilapidated, defective, unsafe or unsanitary dangerous strucs depopulated in Connell, WA have tested negative.  All 170 samples from the index herd and the Mattawa herd havetures in the manner therein provided; andWHEREAS, The City Council of the City of Chattanooga finds that there exists in Chattanooga structures which are unfit for human occupation or use due to dilapidation, defects increasing the hazards of fire, accident or o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availablether calamities, lack of ventilation, light or sanitary facilities, and due to other conditions rendering such structures unsafe or unsanitary, or dangerous or detrimental to the health, safety or morals, or otherwise inimical to the welfare of the residents of .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Chattanooga;NOW, THEREFORE,BE IT ORDAINED BY THE CITY COUNCIL OF THE CITY OF CHATTANOOGA, TENNESSEE, as follows:SECTION 1.  That Chattanooga City Code, Part II, Chapter 18, Article VII, Section 18-123(h) is amended by deleting “Better Housing Commission” and rep81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locatedlacing in lieu thereof  “Public Officer of the Department of Neighborhood Services”.SECTION 2.That Chattanooga City Code Part II, Chapter 21, Article I, Sections 21-1 through 21-25 be and is hereby amended by deleting the same in its entirety and inserting in li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p://www.aphis.usda.gov/lpa/issues/bse/bse_trade_ban_statuseu thereof the following:Sec. 21-1.Scope.The provisions of this code shall apply to all existing residential and nonresidential structures and all existing premises and constitutes minimum requirements and standards for premises, structures, equipment, and facilitie.html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