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TO PUBLIC PARKS.BE IT ORDAINED by the People of the City and County of Honolulu:SECTION 1.  Purpose. The purpose of this ordinaarch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3,nce is to define camping.SECTION 2.  Section 10-1.1, Revised Ordinances of Honolulu 1990, as amended, is further amended to read as foll500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explorerows:“Sec. 10-1.1Definitions.“Camp” or “camping” means the use and occupation of a public park as a temporary or permanent dwelling places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or sleeping place between the hours of 10:00 p.m. and 5:00 a.m.“Dwelling place” means a place used for human habitation as an overnightof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 accommodation, lodging, or shelter on either a temporary or permanent basis.“Human habitation” means the act of utilizing, occupying, ond processing to tool manufacture and maintenance. More than 95% of these sites are located adjacent to canoe-navigable waters, whether coast, lake, river, strear inhabiting a place of lodging or shelter on a permanent or temporary basis as a place of residence or sojourn.“Off-leash park” means 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public park designated by the director of parks and recreation where dogs, and no other animal, shall be allowed to be off-leash.“Publia fish trap structure, and some associated birchbark container fc park” means any park, park roadway, playground, athletic field, beach, beach right-of-way, tennis court, golf course, swimming pool, oragments,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ranger other recreation area or facility under the control, maintenance and management of the department of parks and recreation.  “Public pa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associark” does not include a public thoroughfare defined as a “mall” under Section 29-1.1 unless the public thoroughfare has been (1) acceptedted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 dedicated, or named by the council expressly as a “public park” or “park”; (2) placed under the control, maintenance, and management ost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18f and classified expressly as a “public park” or “park” by the department of parks and recreation; or (3) constructed or situated within00,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 larger specific recreation area or facility listed in the preceding sentence.“Sleeping place” means a place used by a person for the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purpose of sleeping, where the person is asleep inside a tent, sleeping bag, or some form of temporary shelter or is asleep atop of or cthe maintenance of overed by materials such as a cot, mat, bedroll, bedding, sheet, blanket, pillow, bag, cardboard, or newspapers.”SECTION 3.  New ordinana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assoce material is underscored.  When revising, compiling or printing this ordinance for inclusion in the Revised Ordinances of Honolulu, the rc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