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Quality Control (QC) Measures for Aseptic Collection and Processing of  Platelets and Platelets PheresisBackground:Although blood collection and proces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sing procedures are intended to produce non-infectious blood components, bacterial contamination still may occur.  Surveillance studies have found rates of contamination as high as 0.4% in single donor platelets, although rates at or below 0.2% are more reported.  The causes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Suppinclude occult bacteremia in the donor, inadequate or contaminated skin preparation at the phlebotomy site, coring of a skin plug by the phlebotomy needle, and breaches of the closed system from equipment defects or mishandling.  Platelet products are more likely than other l.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shabile components to be associated with sepsis due to their storage at room temperature, which is permissive of bacterial growth.  For the same reason, bacterial cultures of platelets provide the best indication of the rate of contamination, provided that the sample for culture ie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