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 weight.  </w:t>
      </w:r>
      <w:r>
        <w:rPr>
          <w:rFonts w:ascii="" w:hAnsi="" w:cs="" w:eastAsia=""/>
          <w:b w:val="false"/>
          <w:i w:val="false"/>
          <w:strike w:val="false"/>
          <w:color w:val=""/>
        </w:rPr>
        <w:t>Blondinod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iPros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Tduche Hague Convention</w:t>
      </w:r>
    </w:p>
    <w:p>
      <w:pPr>
        <w:pStyle w:val=""/>
        <w:jc w:val="left"/>
      </w:pPr>
      <w:r>
        <w:rPr>
          <w:rFonts w:ascii="" w:hAnsi="" w:cs="" w:eastAsia=""/>
          <w:b w:val="false"/>
          <w:i w:val="false"/>
          <w:strike w:val="false"/>
          <w:color w:val=""/>
        </w:rPr>
        <w:t>The Hague Convention was adopted to deter parents from abducting cts 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Convention.Adv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haisobitual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U.S.C.ry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exceComptions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retumitrn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Fateects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 Mevention's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reaetisonable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rightngD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Idece.</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Frmbeench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psychologicar 1l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o2, 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add200itional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chi2Isld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ordesuers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 Suressed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returmman,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ofry: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 (1ict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of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3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testifyinforg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 thtified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N.Y.S.2e Bd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psychiatriPACst readily admitted that some of Marie-Eline’s “spontaneous” expressions of abuse, such as a fear of her father stran</w:t>
      </w:r>
      <w:r>
        <w:rPr>
          <w:rFonts w:ascii="" w:hAnsi="" w:cs="" w:eastAsia=""/>
          <w:b w:val="false"/>
          <w:i w:val="false"/>
          <w:strike w:val="false"/>
          <w:color w:val=""/>
        </w:rPr>
        <w:t xml:space="preserve">glin Bacterg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