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 </w:t>
      </w:r>
      <w:r>
        <w:rPr>
          <w:rFonts w:ascii="" w:hAnsi="" w:cs="" w:eastAsia=""/>
          <w:b w:val="false"/>
          <w:i w:val="false"/>
          <w:strike w:val="false"/>
          <w:color w:val=""/>
        </w:rPr>
        <w:t>United States Court of Appeals</w:t>
      </w:r>
    </w:p>
    <w:p>
      <w:pPr>
        <w:pStyle w:val=""/>
        <w:jc w:val="left"/>
      </w:pPr>
      <w:r>
        <w:rPr>
          <w:rFonts w:ascii="" w:hAnsi="" w:cs="" w:eastAsia=""/>
          <w:b w:val="false"/>
          <w:i w:val="false"/>
          <w:strike w:val="false"/>
          <w:color w:val=""/>
        </w:rPr>
        <w:t>FOR THE SECOND CIRCUIT</w:t>
      </w:r>
    </w:p>
    <w:p>
      <w:pPr>
        <w:pStyle w:val=""/>
        <w:jc w:val="left"/>
      </w:pPr>
      <w:r>
        <w:rPr>
          <w:rFonts w:ascii="" w:hAnsi="" w:cs="" w:eastAsia=""/>
          <w:b w:val="false"/>
          <w:i w:val="false"/>
          <w:strike w:val="false"/>
          <w:color w:val=""/>
        </w:rPr>
        <w:t>Docket No. 00-6066</w:t>
      </w:r>
    </w:p>
    <w:p>
      <w:pPr>
        <w:pStyle w:val=""/>
        <w:jc w:val="left"/>
      </w:pPr>
      <w:r>
        <w:rPr>
          <w:rFonts w:ascii="" w:hAnsi="" w:cs="" w:eastAsia=""/>
          <w:b w:val="false"/>
          <w:i w:val="false"/>
          <w:strike w:val="false"/>
          <w:color w:val=""/>
        </w:rPr>
        <w:t>------------------</w:t>
      </w:r>
    </w:p>
    <w:p>
      <w:pPr>
        <w:pStyle w:val=""/>
        <w:jc w:val="left"/>
      </w:pPr>
      <w:r>
        <w:rPr>
          <w:rFonts w:ascii="" w:hAnsi="" w:cs="" w:eastAsia=""/>
          <w:b w:val="false"/>
          <w:i w:val="false"/>
          <w:strike w:val="false"/>
          <w:color w:val=""/>
        </w:rPr>
        <w:t>FELIX BLONDIN,</w:t>
      </w:r>
    </w:p>
    <w:p>
      <w:pPr>
        <w:pStyle w:val=""/>
        <w:jc w:val="left"/>
      </w:pPr>
      <w:r>
        <w:rPr>
          <w:rFonts w:ascii="" w:hAnsi="" w:cs="" w:eastAsia=""/>
          <w:b w:val="false"/>
          <w:i w:val="false"/>
          <w:strike w:val="false"/>
          <w:color w:val=""/>
        </w:rPr>
        <w:t>Petitioner-Appellant</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v</w:t>
      </w:r>
      <w:r>
        <w:rPr>
          <w:rFonts w:ascii="" w:hAnsi="" w:cs="" w:eastAsia=""/>
          <w:b w:val="false"/>
          <w:i w:val="false"/>
          <w:strike w:val="false"/>
          <w:color w:val=""/>
        </w:rPr>
        <w:t>. -</w:t>
      </w:r>
    </w:p>
    <w:p>
      <w:pPr>
        <w:pStyle w:val=""/>
        <w:jc w:val="left"/>
      </w:pPr>
      <w:r>
        <w:rPr>
          <w:rFonts w:ascii="" w:hAnsi="" w:cs="" w:eastAsia=""/>
          <w:b w:val="false"/>
          <w:i w:val="false"/>
          <w:strike w:val="false"/>
          <w:color w:val=""/>
        </w:rPr>
        <w:t>MARTHE DUBOIS,</w:t>
      </w:r>
    </w:p>
    <w:p>
      <w:pPr>
        <w:pStyle w:val=""/>
        <w:jc w:val="left"/>
      </w:pPr>
      <w:r>
        <w:rPr>
          <w:rFonts w:ascii="" w:hAnsi="" w:cs="" w:eastAsia=""/>
          <w:b w:val="false"/>
          <w:i w:val="false"/>
          <w:strike w:val="false"/>
          <w:color w:val=""/>
        </w:rPr>
        <w:t>Defendant-Appellee</w:t>
      </w:r>
      <w:r>
        <w:rPr>
          <w:rFonts w:ascii="" w:hAnsi="" w:cs="" w:eastAsia=""/>
          <w:b w:val="false"/>
          <w:i w:val="false"/>
          <w:strike w:val="false"/>
          <w:color w:val=""/>
        </w:rPr>
        <w:t>.</w:t>
      </w:r>
    </w:p>
    <w:p>
      <w:pPr>
        <w:pStyle w:val=""/>
        <w:jc w:val="left"/>
      </w:pPr>
      <w:r>
        <w:rPr>
          <w:rFonts w:ascii="" w:hAnsi="" w:cs="" w:eastAsia=""/>
          <w:b w:val="true"/>
          <w:i w:val="false"/>
          <w:strike w:val="false"/>
          <w:color w:val=""/>
        </w:rPr>
        <w:t>---------------------</w:t>
      </w:r>
    </w:p>
    <w:p>
      <w:pPr>
        <w:pStyle w:val=""/>
        <w:jc w:val="left"/>
      </w:pPr>
      <w:r>
        <w:rPr>
          <w:rFonts w:ascii="" w:hAnsi="" w:cs="" w:eastAsia=""/>
          <w:b w:val="true"/>
          <w:i w:val="false"/>
          <w:strike w:val="false"/>
          <w:color w:val=""/>
        </w:rPr>
        <w:t xml:space="preserve">BRIEF FOR </w:t>
      </w:r>
      <w:r>
        <w:rPr>
          <w:rFonts w:ascii="" w:hAnsi="" w:cs="" w:eastAsia=""/>
          <w:b w:val="true"/>
          <w:i w:val="false"/>
          <w:strike w:val="false"/>
          <w:color w:val=""/>
        </w:rPr>
        <w:t>AMICUS CURIAE</w:t>
      </w:r>
      <w:r>
        <w:rPr>
          <w:rFonts w:ascii="" w:hAnsi="" w:cs="" w:eastAsia=""/>
          <w:b w:val="true"/>
          <w:i w:val="false"/>
          <w:strike w:val="false"/>
          <w:color w:val=""/>
        </w:rPr>
        <w:t xml:space="preserve"> UNITED STATES OF</w:t>
      </w:r>
      <w:r>
        <w:rPr>
          <w:rFonts w:ascii="" w:hAnsi="" w:cs="" w:eastAsia=""/>
          <w:b w:val="true"/>
          <w:i w:val="false"/>
          <w:strike w:val="false"/>
          <w:color w:val=""/>
        </w:rPr>
        <w:t xml:space="preserve"> AMERICA</w:t>
      </w:r>
    </w:p>
    <w:p>
      <w:pPr>
        <w:pStyle w:val=""/>
        <w:jc w:val="left"/>
      </w:pPr>
      <w:r>
        <w:rPr>
          <w:rFonts w:ascii="" w:hAnsi="" w:cs="" w:eastAsia=""/>
          <w:b w:val="true"/>
          <w:i w:val="false"/>
          <w:strike w:val="false"/>
          <w:color w:val=""/>
        </w:rPr>
        <w:t>SUPPORTING PETITIONER-APPELLANT AND SUPPORTING REVERSAL</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Preliminary Statement</w:t>
      </w:r>
    </w:p>
    <w:p>
      <w:pPr>
        <w:pStyle w:val=""/>
        <w:jc w:val="left"/>
      </w:pPr>
      <w:r>
        <w:rPr>
          <w:rFonts w:ascii="" w:hAnsi="" w:cs="" w:eastAsia=""/>
          <w:b w:val="false"/>
          <w:i w:val="false"/>
          <w:strike w:val="false"/>
          <w:color w:val=""/>
        </w:rPr>
        <w:t xml:space="preserve">Pursuant to 28 U.S.C. § 517 and Rule 29 of the Federal Rules of Appellate Procedure, the United States submits this brief as </w:t>
      </w:r>
      <w:r>
        <w:rPr>
          <w:rFonts w:ascii="" w:hAnsi="" w:cs="" w:eastAsia=""/>
          <w:b w:val="false"/>
          <w:i w:val="false"/>
          <w:strike w:val="false"/>
          <w:color w:val=""/>
        </w:rPr>
        <w:t>amicus curiae</w:t>
      </w:r>
      <w:r>
        <w:rPr>
          <w:rFonts w:ascii="" w:hAnsi="" w:cs="" w:eastAsia=""/>
          <w:b w:val="false"/>
          <w:i w:val="false"/>
          <w:strike w:val="false"/>
          <w:color w:val=""/>
        </w:rPr>
        <w:t xml:space="preserve"> to</w:t>
      </w:r>
      <w:r>
        <w:rPr>
          <w:rFonts w:ascii="" w:hAnsi="" w:cs="" w:eastAsia=""/>
          <w:b w:val="false"/>
          <w:i w:val="false"/>
          <w:strike w:val="false"/>
          <w:color w:val=""/>
        </w:rPr>
        <w:t xml:space="preserve"> express its views on the Hague Convention on the Civil Aspects of International Child Abduction (the "Hague Convention" or the "Convention"), Oct. 25, 1980, T.I.A.S. No. 11670, implemented by the International Child Abduction Remedies Act (the "ICARA"), 4</w:t>
      </w:r>
      <w:r>
        <w:rPr>
          <w:rFonts w:ascii="" w:hAnsi="" w:cs="" w:eastAsia=""/>
          <w:b w:val="false"/>
          <w:i w:val="false"/>
          <w:strike w:val="false"/>
          <w:color w:val=""/>
        </w:rPr>
        <w:t>2 U.S.C. §§ 11601-11610.</w:t>
      </w:r>
    </w:p>
    <w:p>
      <w:pPr>
        <w:pStyle w:val=""/>
        <w:jc w:val="left"/>
      </w:pPr>
      <w:r>
        <w:rPr>
          <w:rFonts w:ascii="" w:hAnsi="" w:cs="" w:eastAsia=""/>
          <w:b w:val="true"/>
          <w:i w:val="false"/>
          <w:strike w:val="false"/>
          <w:color w:val=""/>
        </w:rPr>
        <w:t>INTEREST OF THE UNITED STATES</w:t>
      </w:r>
    </w:p>
    <w:p>
      <w:pPr>
        <w:pStyle w:val=""/>
        <w:jc w:val="left"/>
      </w:pPr>
      <w:r>
        <w:rPr>
          <w:rFonts w:ascii="" w:hAnsi="" w:cs="" w:eastAsia=""/>
          <w:b w:val="false"/>
          <w:i w:val="false"/>
          <w:strike w:val="false"/>
          <w:color w:val=""/>
        </w:rPr>
        <w:t xml:space="preserve">The Hague Convention is designed to “protect children internationally from the harmful effects of their wrongful removal or </w:t>
      </w:r>
      <w:r>
        <w:rPr>
          <w:rFonts w:ascii="" w:hAnsi="" w:cs="" w:eastAsia=""/>
          <w:b w:val="false"/>
          <w:i w:val="false"/>
          <w:strike w:val="false"/>
          <w:color w:val=""/>
        </w:rPr>
        <w:t>retention and to establish procedures to ensure their prompt return to the S</w:t>
      </w:r>
      <w:r>
        <w:rPr>
          <w:rFonts w:ascii="" w:hAnsi="" w:cs="" w:eastAsia=""/>
          <w:b w:val="false"/>
          <w:i w:val="false"/>
          <w:strike w:val="false"/>
          <w:color w:val=""/>
        </w:rPr>
        <w:t xml:space="preserve">tate of their habitual residence.”  </w:t>
      </w:r>
      <w:r>
        <w:rPr>
          <w:rFonts w:ascii="" w:hAnsi="" w:cs="" w:eastAsia=""/>
          <w:b w:val="false"/>
          <w:i w:val="false"/>
          <w:strike w:val="false"/>
          <w:color w:val=""/>
        </w:rPr>
        <w:t>Hague Convention Preamble.</w:t>
      </w:r>
      <w:r>
        <w:rPr>
          <w:rFonts w:ascii="" w:hAnsi="" w:cs="" w:eastAsia=""/>
          <w:b w:val="false"/>
          <w:i w:val="false"/>
          <w:strike w:val="false"/>
          <w:color w:val=""/>
        </w:rPr>
        <w:t xml:space="preserve"> The Department of State has long been involved in the difficult human, legal, and diplomatic problems surrounding international parental child abduction.  The Department of State represented th</w:t>
      </w:r>
      <w:r>
        <w:rPr>
          <w:rFonts w:ascii="" w:hAnsi="" w:cs="" w:eastAsia=""/>
          <w:b w:val="false"/>
          <w:i w:val="false"/>
          <w:strike w:val="false"/>
          <w:color w:val=""/>
        </w:rPr>
        <w:t>e United States at the negotiation of the Convention, and was instrumental in proposing its implementing legislation to Congress.  (A237).  The Department of State has also attended periodic international meetings to review the operation of the Convention.</w:t>
      </w:r>
      <w:r>
        <w:rPr>
          <w:rFonts w:ascii="" w:hAnsi="" w:cs="" w:eastAsia=""/>
          <w:b w:val="false"/>
          <w:i w:val="false"/>
          <w:strike w:val="false"/>
          <w:color w:val=""/>
        </w:rPr>
        <w:t xml:space="preserve">  </w:t>
      </w:r>
      <w:r>
        <w:rPr>
          <w:rFonts w:ascii="" w:hAnsi="" w:cs="" w:eastAsia=""/>
          <w:b w:val="false"/>
          <w:i w:val="false"/>
          <w:strike w:val="false"/>
          <w:color w:val=""/>
        </w:rPr>
        <w:t>(A237-38).</w:t>
      </w:r>
    </w:p>
    <w:p>
      <w:pPr>
        <w:pStyle w:val=""/>
        <w:jc w:val="left"/>
      </w:pPr>
      <w:r>
        <w:rPr>
          <w:rFonts w:ascii="" w:hAnsi="" w:cs="" w:eastAsia=""/>
          <w:b w:val="false"/>
          <w:i w:val="false"/>
          <w:strike w:val="false"/>
          <w:color w:val=""/>
        </w:rPr>
        <w:t>The Hague Convention requires each party State to designate a "Central Authority" to cooperate with its counterparts in other party States to "secure the prompt return of children and to achieve the other objects of this Convention."  Hague C</w:t>
      </w:r>
      <w:r>
        <w:rPr>
          <w:rFonts w:ascii="" w:hAnsi="" w:cs="" w:eastAsia=""/>
          <w:b w:val="false"/>
          <w:i w:val="false"/>
          <w:strike w:val="false"/>
          <w:color w:val=""/>
        </w:rPr>
        <w:t xml:space="preserve">onvention, arts. </w:t>
      </w:r>
      <w:r>
        <w:rPr>
          <w:rFonts w:ascii="" w:hAnsi="" w:cs="" w:eastAsia=""/>
          <w:b w:val="false"/>
          <w:i w:val="false"/>
          <w:strike w:val="false"/>
          <w:color w:val=""/>
        </w:rPr>
        <w:t>6, 7.</w:t>
      </w:r>
      <w:r>
        <w:rPr>
          <w:rFonts w:ascii="" w:hAnsi="" w:cs="" w:eastAsia=""/>
          <w:b w:val="false"/>
          <w:i w:val="false"/>
          <w:strike w:val="false"/>
          <w:color w:val=""/>
        </w:rPr>
        <w:t xml:space="preserve">  The Department of States' Office of Children's Issues is the designated Central Authority in this country.  </w:t>
      </w:r>
      <w:r>
        <w:rPr>
          <w:rFonts w:ascii="" w:hAnsi="" w:cs="" w:eastAsia=""/>
          <w:b w:val="false"/>
          <w:i w:val="false"/>
          <w:strike w:val="false"/>
          <w:color w:val=""/>
        </w:rPr>
        <w:t>22 C.F.R. § 94.2.</w:t>
      </w:r>
      <w:r>
        <w:rPr>
          <w:rFonts w:ascii="" w:hAnsi="" w:cs="" w:eastAsia=""/>
          <w:b w:val="false"/>
          <w:i w:val="false"/>
          <w:strike w:val="false"/>
          <w:color w:val=""/>
        </w:rPr>
        <w:t>*</w:t>
      </w:r>
      <w:r>
        <w:rPr>
          <w:rFonts w:ascii="" w:hAnsi="" w:cs="" w:eastAsia=""/>
          <w:b w:val="false"/>
          <w:i w:val="false"/>
          <w:strike w:val="false"/>
          <w:color w:val=""/>
        </w:rPr>
        <w:t xml:space="preserve">  To facilitate the proper functioning of the Convention, the Office of Children's Issues carries out an a</w:t>
      </w:r>
      <w:r>
        <w:rPr>
          <w:rFonts w:ascii="" w:hAnsi="" w:cs="" w:eastAsia=""/>
          <w:b w:val="false"/>
          <w:i w:val="false"/>
          <w:strike w:val="false"/>
          <w:color w:val=""/>
        </w:rPr>
        <w:t xml:space="preserve">ctive program of communications with private applicants, other Central Authorities, and, where appropriate, courts in the United States and abroad.  (A238). </w:t>
      </w:r>
    </w:p>
    <w:p>
      <w:pPr>
        <w:pStyle w:val=""/>
        <w:jc w:val="left"/>
      </w:pPr>
      <w:r>
        <w:rPr>
          <w:rFonts w:ascii="" w:hAnsi="" w:cs="" w:eastAsia=""/>
          <w:b w:val="false"/>
          <w:i w:val="false"/>
          <w:strike w:val="false"/>
          <w:color w:val=""/>
        </w:rPr>
        <w:t xml:space="preserve">The Department of State has a strong interest in promoting </w:t>
      </w:r>
      <w:r>
        <w:rPr>
          <w:rFonts w:ascii="" w:hAnsi="" w:cs="" w:eastAsia=""/>
          <w:b w:val="false"/>
          <w:i w:val="false"/>
          <w:strike w:val="false"/>
          <w:color w:val=""/>
        </w:rPr>
        <w:t>the proper operation of the Convention</w:t>
      </w:r>
      <w:r>
        <w:rPr>
          <w:rFonts w:ascii="" w:hAnsi="" w:cs="" w:eastAsia=""/>
          <w:b w:val="false"/>
          <w:i w:val="false"/>
          <w:strike w:val="false"/>
          <w:color w:val=""/>
        </w:rPr>
        <w:t xml:space="preserve"> to ensure that the United States complies with international treaty obligations.  (</w:t>
      </w:r>
      <w:r>
        <w:rPr>
          <w:rFonts w:ascii="" w:hAnsi="" w:cs="" w:eastAsia=""/>
          <w:b w:val="false"/>
          <w:i w:val="false"/>
          <w:strike w:val="false"/>
          <w:color w:val=""/>
        </w:rPr>
        <w:t>Id</w:t>
      </w:r>
      <w:r>
        <w:rPr>
          <w:rFonts w:ascii="" w:hAnsi="" w:cs="" w:eastAsia=""/>
          <w:b w:val="false"/>
          <w:i w:val="false"/>
          <w:strike w:val="false"/>
          <w:color w:val=""/>
        </w:rPr>
        <w:t>.).  To the extent that other party States consider erroneous the United States courts’ application of exceptions to return under the Convention, the United States may fi</w:t>
      </w:r>
      <w:r>
        <w:rPr>
          <w:rFonts w:ascii="" w:hAnsi="" w:cs="" w:eastAsia=""/>
          <w:b w:val="false"/>
          <w:i w:val="false"/>
          <w:strike w:val="false"/>
          <w:color w:val=""/>
        </w:rPr>
        <w:t xml:space="preserve">nd its views on questions of Convention interpretation accorded less weight.  </w:t>
      </w:r>
      <w:r>
        <w:rPr>
          <w:rFonts w:ascii="" w:hAnsi="" w:cs="" w:eastAsia=""/>
          <w:b w:val="false"/>
          <w:i w:val="false"/>
          <w:strike w:val="false"/>
          <w:color w:val=""/>
        </w:rPr>
        <w:t>Blondin v. Dubois</w:t>
      </w:r>
      <w:r>
        <w:rPr>
          <w:rFonts w:ascii="" w:hAnsi="" w:cs="" w:eastAsia=""/>
          <w:b w:val="false"/>
          <w:i w:val="false"/>
          <w:strike w:val="false"/>
          <w:color w:val=""/>
        </w:rPr>
        <w:t>, 189 F.3d 240, 248 &amp; n.7 (2d Cir. 1999) ("</w:t>
      </w:r>
      <w:r>
        <w:rPr>
          <w:rFonts w:ascii="" w:hAnsi="" w:cs="" w:eastAsia=""/>
          <w:b w:val="false"/>
          <w:i w:val="false"/>
          <w:strike w:val="false"/>
          <w:color w:val=""/>
        </w:rPr>
        <w:t>Blondin II</w:t>
      </w:r>
      <w:r>
        <w:rPr>
          <w:rFonts w:ascii="" w:hAnsi="" w:cs="" w:eastAsia=""/>
          <w:b w:val="false"/>
          <w:i w:val="false"/>
          <w:strike w:val="false"/>
          <w:color w:val=""/>
        </w:rPr>
        <w:t>").</w:t>
      </w:r>
      <w:r>
        <w:rPr>
          <w:rFonts w:ascii="" w:hAnsi="" w:cs="" w:eastAsia=""/>
          <w:b w:val="false"/>
          <w:i w:val="false"/>
          <w:strike w:val="false"/>
          <w:color w:val=""/>
        </w:rPr>
        <w:t xml:space="preserve">  As succinctly stated by the Hague Convention's official reporter, in language adopted by this Court, an</w:t>
      </w:r>
      <w:r>
        <w:rPr>
          <w:rFonts w:ascii="" w:hAnsi="" w:cs="" w:eastAsia=""/>
          <w:b w:val="false"/>
          <w:i w:val="false"/>
          <w:strike w:val="false"/>
          <w:color w:val=""/>
        </w:rPr>
        <w:t xml:space="preserve">y "'systematic invocation of [these] exceptions, substituting the forum chosen by the abductor for that of the child's residence, would lead to the collapse of the Convention by depriving it of the spirit of mutual confidence which is its inspiration.'"  </w:t>
      </w:r>
      <w:r>
        <w:rPr>
          <w:rFonts w:ascii="" w:hAnsi="" w:cs="" w:eastAsia=""/>
          <w:b w:val="false"/>
          <w:i w:val="false"/>
          <w:strike w:val="false"/>
          <w:color w:val=""/>
        </w:rPr>
        <w:t>I</w:t>
      </w:r>
      <w:r>
        <w:rPr>
          <w:rFonts w:ascii="" w:hAnsi="" w:cs="" w:eastAsia=""/>
          <w:b w:val="false"/>
          <w:i w:val="false"/>
          <w:strike w:val="false"/>
          <w:color w:val=""/>
        </w:rPr>
        <w:t>d.</w:t>
      </w:r>
      <w:r>
        <w:rPr>
          <w:rFonts w:ascii="" w:hAnsi="" w:cs="" w:eastAsia=""/>
          <w:b w:val="false"/>
          <w:i w:val="false"/>
          <w:strike w:val="false"/>
          <w:color w:val=""/>
        </w:rPr>
        <w:t xml:space="preserve"> at 246 (quoting Elisa Perez-Vera, </w:t>
      </w:r>
      <w:r>
        <w:rPr>
          <w:rFonts w:ascii="" w:hAnsi="" w:cs="" w:eastAsia=""/>
          <w:b w:val="false"/>
          <w:i w:val="false"/>
          <w:strike w:val="false"/>
          <w:color w:val=""/>
        </w:rPr>
        <w:t>Explanatory Report:  Hague Conference on Private International Law</w:t>
      </w:r>
      <w:r>
        <w:rPr>
          <w:rFonts w:ascii="" w:hAnsi="" w:cs="" w:eastAsia=""/>
          <w:b w:val="false"/>
          <w:i w:val="false"/>
          <w:strike w:val="false"/>
          <w:color w:val=""/>
        </w:rPr>
        <w:t xml:space="preserve">, </w:t>
      </w:r>
      <w:r>
        <w:rPr>
          <w:rFonts w:ascii="" w:hAnsi="" w:cs="" w:eastAsia=""/>
          <w:b w:val="false"/>
          <w:i w:val="false"/>
          <w:strike w:val="false"/>
          <w:color w:val=""/>
        </w:rPr>
        <w:t>in</w:t>
      </w:r>
      <w:r>
        <w:rPr>
          <w:rFonts w:ascii="" w:hAnsi="" w:cs="" w:eastAsia=""/>
          <w:b w:val="false"/>
          <w:i w:val="false"/>
          <w:strike w:val="false"/>
          <w:color w:val=""/>
        </w:rPr>
        <w:t xml:space="preserve"> 3 </w:t>
      </w:r>
      <w:r>
        <w:rPr>
          <w:rFonts w:ascii="" w:hAnsi="" w:cs="" w:eastAsia=""/>
          <w:b w:val="false"/>
          <w:i w:val="false"/>
          <w:strike w:val="false"/>
          <w:color w:val=""/>
        </w:rPr>
        <w:t>Acts and Documents of 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Blood Products Advisory Committee MeetingDecember 12, 2002Issue Summary: (1 of 3 for the BPAC Bacterial contamination topic) Quality Control (QC) Measures for Aseptic Collection and Processing of  Platelets and Platelets PheresisBackground:Although blood collection and processing procedures are intended to produce non-infectious blood components, bacterial contamination still may occur.  Surveillance studies have found rates of contamination as high as 0.4% in single donor platelets, although rates at or below 0.2% are more reported.  The causes include occult bacteremia in the donor, inadequate or contaminated skin preparation at the phlebotomy site, coring of a skin plug by the phlebotomy needle, and breaches of the closed system from equipment defects or mishandling.  Platelet products are more likely than other labile components to be associated with sepsis due to their storage at room temperature, which is permissive of bacterial growth.  For the same reason, bacterial cultures of platelets provide the best indication of the rate of contamination, provided that the sample for culture is obtained on a suitable sample volume and at a suitable time post-collection.A variety of procedures may be used to obtain a valid platelet sample for bacterial culture.  Aseptic techniques are required in order to minimize the risk of false positive cultures due to contamination at the time of sampling or upon inoculation in culture.  Additionally, it is prudent to retain a sample that can be used for repeat culture to validate a positive result.  Large volume samples removed from a several unit platelet pool or single donor apheresis unit can be cultured any time post-collection.  However small volume samples (e.g. 2-5 ml removed from a single whole blood unit) should be obtained only after a 24-48 hour delay post-collection.  The delayed sampling of a small volume permits bacterial growth to a level that subsequent assays will reliably detect, thereby overcoming sampling errors at low contamination levels.High-Throughput Sampling Using a Sterile Connecting Device (SCD) Sampling solely for quality control purposes can be accomplished by an aseptic, but open method (e.g. needle aspiration) for units at the time of issue (i.e. for use within four hours) or on outdating units.  Conversely, sampling of platelets for the purpose of establishing a criterion for issuance of platelets as "culture negative to date" based on a negative result of bacterial cultures requires that the integrity of the closed system should be maintained.  This is because platelets may continue to be stored for a variable period after sampling and before use.  Suitable methods of sampling in this case would include the use of integral satellite containers, or stripping, refilling, and then pinching off duplicate pigtails.  Sampling also may be done into collection containers via the use of sterile connecting devices.The FDA Guidance for Industry (Use of Sterile Connecting Devices in Blood Bank Practice, November, 2000) (1) describes an SCD as a functionally closed system for component preparation. However, given the room temperature storage of platelet preparations, current regulations do not permit extension of the 4 hour outdate for pooled random donor platelets pending submission of supporting data to enmake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notsure that sterility is not compromised by multiple SCD connections.  While published US data support the sterility of SCD procedures  when combined with visual inspection of the welded joint(2,3), a single European study described a 1.4% product contamination rate when an SCD was used to obtain samples for culture (4). Recent clearance of two semi-automated culture systems for QC of platelet components has generated momentum within industry to culture in-date apheresis products followed by either product quarantine for a defined culture interval, or recall of a culture-positive distributed product. In part due to the absence of published data supporting SCD for sampling from in-date products, FDA has previously taken the position that the cleared culture systems should carry special labeling prohibiting their use as pre-release screening tests, due to a) possible risk of increased extrinsic contamination from SCD sampling and b) absence of data for the cleared devices when used for pre-release testing c) concern about off-label use of platelets older than the current 5 day shelf life (5). Similar concerns regarding extrinsic contamination may also exist if SCD procedures are used to collect a culture sample from many (or all) platelet products prior to release for transfusion.  The Committee will hear a summary of available data on this issue. Quality Control StrategiesThe goal of quality control testing for bacterial contamination should be to assure that blood collection and processing procedures conform to defined standards.  Statistically-based sampling of platelets for culture (or analogous testing) by a validated method will provide a reliable indication of the rate of contamination for all the labile products.  However, the number of samples tested must be very large.  (For example, based on Poisson statistics, it would require 0 failures out of 750 samples to be 95% confident that the contamination rate did not exceed 0.4%.)  For very large blood collection centers, sampling on this order of magnitude may be possible by culturing platelets only at outdate.  Conversely, small centers should consider testing of all units older than 24-48 hours by a process of sterile sampling at the time of issue or outdate.  Daily (or, if frozen, weekly) samples can be pooled to reduce the number of cultures.   Individual samples contributing to positive pools should be retested singly to determine the identity of the contaminated units, thereby permitting a prompt investigation of potential correctable causes.  Correlations with common causal factors such as operator errors, shift, reagent batch, or procedure should be considered.   Retained duplicate samples should be used to confirm or reevaluate the initial bacteriological findings. The following will be presented by FDA for consideration as a minimal quality control program for all platelet products collected at blood centers.As a quality control for aseptic collection and processing of labile components, blood collection centers should determine the rate of bacterial contamination in platelets at least yearly by culturing 1,500 or more units (about 30 units per week or 5% of units released after 24 hours of storage, whichever is larger.)  Standard statistical methods should be used to identify significant deviations fr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xml:space="preserve"> harm.  That is different, however, from giving effect to a carefully considered “objection” by an older child to returning to her former country of residence, based on her independent and mature assessment of her own interests.</w:t>
      </w:r>
    </w:p>
    <w:p>
      <w:pPr>
        <w:pStyle w:val=""/>
        <w:jc w:val="left"/>
      </w:pPr>
      <w:r>
        <w:rPr>
          <w:rFonts w:ascii="" w:hAnsi="" w:cs="" w:eastAsia=""/>
          <w:b w:val="true"/>
          <w:i w:val="false"/>
          <w:strike w:val="false"/>
          <w:color w:val=""/>
        </w:rPr>
        <w:t>CONCLUSION</w:t>
      </w:r>
    </w:p>
    <w:p>
      <w:pPr>
        <w:pStyle w:val=""/>
        <w:jc w:val="left"/>
      </w:pPr>
      <w:r>
        <w:rPr>
          <w:rFonts w:ascii="" w:hAnsi="" w:cs="" w:eastAsia=""/>
          <w:b w:val="false"/>
          <w:i w:val="false"/>
          <w:strike w:val="false"/>
          <w:color w:val=""/>
        </w:rPr>
        <w:t>T</w:t>
      </w:r>
      <w:r>
        <w:rPr>
          <w:rFonts w:ascii="" w:hAnsi="" w:cs="" w:eastAsia=""/>
          <w:b w:val="true"/>
          <w:i w:val="false"/>
          <w:strike w:val="false"/>
          <w:color w:val=""/>
        </w:rPr>
        <w:t>he judgment of</w:t>
      </w:r>
      <w:r>
        <w:rPr>
          <w:rFonts w:ascii="" w:hAnsi="" w:cs="" w:eastAsia=""/>
          <w:b w:val="true"/>
          <w:i w:val="false"/>
          <w:strike w:val="false"/>
          <w:color w:val=""/>
        </w:rPr>
        <w:t xml:space="preserve"> the district court should be reversed.</w:t>
      </w:r>
    </w:p>
    <w:p>
      <w:pPr>
        <w:pStyle w:val=""/>
        <w:jc w:val="left"/>
      </w:pPr>
      <w:r>
        <w:rPr>
          <w:rFonts w:ascii="" w:hAnsi="" w:cs="" w:eastAsia=""/>
          <w:b w:val="false"/>
          <w:i w:val="false"/>
          <w:strike w:val="false"/>
          <w:color w:val=""/>
        </w:rPr>
        <w:t>Dated:</w:t>
      </w:r>
      <w:r>
        <w:rPr>
          <w:rFonts w:ascii="" w:hAnsi="" w:cs="" w:eastAsia=""/>
          <w:b w:val="false"/>
          <w:i w:val="false"/>
          <w:strike w:val="false"/>
          <w:color w:val=""/>
        </w:rPr>
        <w:t>New York, New York</w:t>
      </w:r>
    </w:p>
    <w:p>
      <w:pPr>
        <w:pStyle w:val=""/>
        <w:jc w:val="left"/>
      </w:pPr>
      <w:r>
        <w:rPr>
          <w:rFonts w:ascii="" w:hAnsi="" w:cs="" w:eastAsia=""/>
          <w:b w:val="false"/>
          <w:i w:val="false"/>
          <w:strike w:val="false"/>
          <w:color w:val=""/>
        </w:rPr>
        <w:t>May 8, 2000</w:t>
      </w:r>
    </w:p>
    <w:p>
      <w:pPr>
        <w:pStyle w:val=""/>
        <w:jc w:val="left"/>
      </w:pPr>
      <w:r>
        <w:rPr>
          <w:rFonts w:ascii="" w:hAnsi="" w:cs="" w:eastAsia=""/>
          <w:b w:val="false"/>
          <w:i w:val="false"/>
          <w:strike w:val="false"/>
          <w:color w:val=""/>
        </w:rPr>
        <w:t>Respectfully submitted,</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of New York</w:t>
      </w:r>
      <w:r>
        <w:rPr>
          <w:rFonts w:ascii="" w:hAnsi="" w:cs="" w:eastAsia=""/>
          <w:b w:val="false"/>
          <w:i w:val="false"/>
          <w:strike w:val="false"/>
          <w:color w:val=""/>
        </w:rPr>
        <w:t>,</w:t>
      </w:r>
    </w:p>
    <w:p>
      <w:pPr>
        <w:pStyle w:val=""/>
        <w:jc w:val="left"/>
      </w:pPr>
      <w:r>
        <w:rPr>
          <w:rFonts w:ascii="" w:hAnsi="" w:cs="" w:eastAsia=""/>
          <w:b w:val="false"/>
          <w:i w:val="false"/>
          <w:strike w:val="false"/>
          <w:color w:val=""/>
        </w:rPr>
        <w:t>Attorney for</w:t>
      </w:r>
      <w:r>
        <w:rPr>
          <w:rFonts w:ascii="" w:hAnsi="" w:cs="" w:eastAsia=""/>
          <w:b w:val="false"/>
          <w:i w:val="false"/>
          <w:strike w:val="false"/>
          <w:color w:val=""/>
        </w:rPr>
        <w:t xml:space="preserve"> Amicus Curiae</w:t>
      </w:r>
    </w:p>
    <w:p>
      <w:pPr>
        <w:pStyle w:val=""/>
        <w:jc w:val="left"/>
      </w:pPr>
      <w:r>
        <w:rPr>
          <w:rFonts w:ascii="" w:hAnsi="" w:cs="" w:eastAsia=""/>
          <w:b w:val="false"/>
          <w:i w:val="false"/>
          <w:strike w:val="false"/>
          <w:color w:val=""/>
        </w:rPr>
        <w:t>United States of America</w:t>
      </w:r>
      <w:r>
        <w:rPr>
          <w:rFonts w:ascii="" w:hAnsi="" w:cs="" w:eastAsia=""/>
          <w:b w:val="false"/>
          <w:i w:val="false"/>
          <w:strike w:val="false"/>
          <w:color w:val=""/>
        </w:rPr>
        <w:t>.</w:t>
      </w:r>
    </w:p>
    <w:p>
      <w:pPr>
        <w:pStyle w:val=""/>
        <w:jc w:val="left"/>
      </w:pP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G</w:t>
      </w:r>
      <w:r>
        <w:rPr>
          <w:rFonts w:ascii="" w:hAnsi="" w:cs="" w:eastAsia=""/>
          <w:b w:val="false"/>
          <w:i w:val="false"/>
          <w:strike w:val="false"/>
          <w:color w:val=""/>
        </w:rPr>
        <w:t>IDEON A. SCHOR,</w:t>
      </w:r>
    </w:p>
    <w:p>
      <w:pPr>
        <w:pStyle w:val=""/>
        <w:jc w:val="left"/>
      </w:pPr>
      <w:r>
        <w:rPr>
          <w:rFonts w:ascii="" w:hAnsi="" w:cs="" w:eastAsia=""/>
          <w:b w:val="false"/>
          <w:i w:val="false"/>
          <w:strike w:val="false"/>
          <w:color w:val=""/>
        </w:rPr>
        <w:t>Assistant United States Attorneys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Of Counsel</w:t>
      </w:r>
      <w:r>
        <w:rPr>
          <w:rFonts w:ascii="" w:hAnsi="" w:cs="" w:eastAsia=""/>
          <w:b w:val="false"/>
          <w:i w:val="false"/>
          <w:strike w:val="false"/>
          <w:color w:val=""/>
        </w:rPr>
        <w:t>.</w:t>
      </w:r>
    </w:p>
    <w:p>
      <w:pPr>
        <w:pStyle w:val=""/>
        <w:jc w:val="left"/>
      </w:pPr>
      <w:r>
        <w:rPr>
          <w:rFonts w:ascii="" w:hAnsi="" w:cs="" w:eastAsia=""/>
          <w:b w:val="true"/>
          <w:i w:val="false"/>
          <w:strike w:val="false"/>
          <w:color w:val=""/>
        </w:rPr>
        <w:t>Certificate of Compliance</w:t>
      </w:r>
    </w:p>
    <w:p>
      <w:pPr>
        <w:pStyle w:val=""/>
        <w:jc w:val="left"/>
      </w:pPr>
      <w:r>
        <w:rPr>
          <w:rFonts w:ascii="" w:hAnsi="" w:cs="" w:eastAsia=""/>
          <w:b w:val="false"/>
          <w:i w:val="false"/>
          <w:strike w:val="false"/>
          <w:color w:val=""/>
        </w:rPr>
        <w:t>Pursuant to Rules 29(c), (d), and 32(a)(7)(C) of the Federal Rules of Appellate Procedure, the undersigned counsel for the United States hereby certifies t</w:t>
      </w:r>
      <w:r>
        <w:rPr>
          <w:rFonts w:ascii="" w:hAnsi="" w:cs="" w:eastAsia=""/>
          <w:b w:val="false"/>
          <w:i w:val="false"/>
          <w:strike w:val="false"/>
          <w:color w:val=""/>
        </w:rPr>
        <w:t>hat this brief complies with the type-volume limitation of Rule 32(a)(7)(B).  As measured by the word processing system used to prepare this brief, there are 6964 words in the brief.</w:t>
      </w:r>
    </w:p>
    <w:p>
      <w:pPr>
        <w:pStyle w:val=""/>
        <w:jc w:val="left"/>
      </w:pPr>
      <w:r>
        <w:rPr>
          <w:rFonts w:ascii="" w:hAnsi="" w:cs="" w:eastAsia=""/>
          <w:b w:val="false"/>
          <w:i w:val="false"/>
          <w:strike w:val="false"/>
          <w:color w:val=""/>
        </w:rPr>
        <w:t>MARY JO WHITE,</w:t>
      </w:r>
    </w:p>
    <w:p>
      <w:pPr>
        <w:pStyle w:val=""/>
        <w:jc w:val="left"/>
      </w:pPr>
      <w:r>
        <w:rPr>
          <w:rFonts w:ascii="" w:hAnsi="" w:cs="" w:eastAsia=""/>
          <w:b w:val="false"/>
          <w:i w:val="false"/>
          <w:strike w:val="false"/>
          <w:color w:val=""/>
        </w:rPr>
        <w:t>United States Attorney for the</w:t>
      </w:r>
    </w:p>
    <w:p>
      <w:pPr>
        <w:pStyle w:val=""/>
        <w:jc w:val="left"/>
      </w:pPr>
      <w:r>
        <w:rPr>
          <w:rFonts w:ascii="" w:hAnsi="" w:cs="" w:eastAsia=""/>
          <w:b w:val="false"/>
          <w:i w:val="false"/>
          <w:strike w:val="false"/>
          <w:color w:val=""/>
        </w:rPr>
        <w:t>Southern District o</w:t>
      </w:r>
      <w:r>
        <w:rPr>
          <w:rFonts w:ascii="" w:hAnsi="" w:cs="" w:eastAsia=""/>
          <w:b w:val="false"/>
          <w:i w:val="false"/>
          <w:strike w:val="false"/>
          <w:color w:val=""/>
        </w:rPr>
        <w:t>f New York</w:t>
      </w:r>
      <w:r>
        <w:rPr>
          <w:rFonts w:ascii="" w:hAnsi="" w:cs="" w:eastAsia=""/>
          <w:b w:val="false"/>
          <w:i w:val="false"/>
          <w:strike w:val="false"/>
          <w:color w:val=""/>
        </w:rPr>
        <w:t>,</w:t>
      </w:r>
    </w:p>
    <w:p>
      <w:pPr>
        <w:pStyle w:val=""/>
        <w:jc w:val="left"/>
      </w:pPr>
      <w:r>
        <w:rPr>
          <w:rFonts w:ascii="" w:hAnsi="" w:cs="" w:eastAsia=""/>
          <w:b w:val="false"/>
          <w:i w:val="false"/>
          <w:strike w:val="false"/>
          <w:color w:val=""/>
        </w:rPr>
        <w:t>By:</w:t>
      </w:r>
      <w:r>
        <w:rPr>
          <w:rFonts w:ascii="" w:hAnsi="" w:cs="" w:eastAsia=""/>
          <w:b w:val="false"/>
          <w:i w:val="false"/>
          <w:strike w:val="false"/>
          <w:color w:val=""/>
        </w:rPr>
        <w:t>WENDY H. SCHWARTZ,</w:t>
      </w:r>
    </w:p>
    <w:p>
      <w:pPr>
        <w:pStyle w:val=""/>
        <w:jc w:val="left"/>
      </w:pPr>
      <w:r>
        <w:rPr>
          <w:rFonts w:ascii="" w:hAnsi="" w:cs="" w:eastAsia=""/>
          <w:b w:val="false"/>
          <w:i w:val="false"/>
          <w:strike w:val="false"/>
          <w:color w:val=""/>
        </w:rPr>
        <w:t>Assistant United States Attorney</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2021-03-25T04:37:28Z</dcterms:created>
  <dc:creator>Apache POI</dc:creator>
</cp:coreProperties>
</file>